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b/>
          <w:bCs/>
          <w:sz w:val="48"/>
          <w:szCs w:val="48"/>
        </w:rPr>
      </w:pPr>
      <w:r>
        <w:rPr>
          <w:b/>
          <w:bCs/>
          <w:color w:val="333333"/>
          <w:sz w:val="48"/>
          <w:szCs w:val="48"/>
          <w:shd w:val="clear" w:fill="FFFFFF"/>
        </w:rPr>
        <w:t>党的十八大以来</w:t>
      </w:r>
      <w:bookmarkStart w:id="0" w:name="_GoBack"/>
      <w:bookmarkEnd w:id="0"/>
      <w:r>
        <w:rPr>
          <w:b/>
          <w:bCs/>
          <w:color w:val="333333"/>
          <w:sz w:val="48"/>
          <w:szCs w:val="48"/>
          <w:shd w:val="clear" w:fill="FFFFFF"/>
        </w:rPr>
        <w:t>经济领域进展成就</w:t>
      </w:r>
    </w:p>
    <w:p/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shd w:val="clear" w:fill="FFFFFF"/>
        </w:rPr>
        <w:t>【国家统计局局长 宁吉喆】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党的十八大以来，面对世情国情深刻变化，在以习近平同志为核心的党中央坚强领导下，全国各族人民高举中国特色社会主义伟大旗帜，统筹推进“五位一体”总体布局和协调推进“四个全面”战略布局，牢固树立和贯彻落实新发展理念，适应把握引领经济发展新常态，坚持稳中求进工作总基调，按照党中央、国务院决策部署，同心戮力，迎难而上，开拓创新，砥砺前行，我国经济社会发展取得新的辉煌成就，决胜全面建成小康社会夺取新的重大胜利，中国特色社会主义伟大事业开创新的发展境界，为实现“两个一百年”奋斗目标和中华民族伟大复兴的中国梦打下了坚实基础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shd w:val="clear" w:fill="FFFFFF"/>
        </w:rPr>
        <w:t>一、经济运行保持在合理区间，综合国力和国际影响力显著增强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经济保持中高速增长。2013-2016年，国内生产总值年均增长7.2%，高于同期世界2.6%和发展中经济体4%的平均增长水平，平均每年增量44413亿元（按2015年不变价计算）。今年上半年，国民经济运行稳中有进、稳中向好，国内生产总值同比增长6.9%，增速连续8个季度稳定在6.7%-6.9%的区间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就业持续扩大。2013-2016年，城镇新增就业连续四年保持在1300万人以上，今年1-8月份，城镇新增就业974万人。2013-2016年，31个大城市城镇调查失业率基本稳定在5%左右，今年9月份为4.83%，为2012年以来最低。2013-2016年，农民工总量年均增长1.8%，今年二季度末农村外出务工劳动力同比增长2.1%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价格形势稳定。2013-2016年，居民消费价格年均上涨2.0%。今年1-8月份，居民消费价格同比上涨1.5%。过去几年，7.2%的年均经济增长速度、2%的通胀率、5%左右的调查失业率，较高增速、较多就业、较低物价搭配的运行格局难能可贵，在世界范围内一枝独秀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综合实力不断增强。2016年，国内生产总值达到74万亿元，按不变价计算为2012年的1.32倍；一般公共预算收入接近16万亿元，为2012年的1.36倍；谷物、肉类、花生、钢铁、汽车等多种工农业产品产量居世界首位；高速铁路里程2.3万公里，位居世界第一；2016年年末国家外汇储备超过3万亿美元，今年8月末达3.09万亿美元，继续保持世界首位。2016年，人均国民总收入（GNI）达到8260美元，在世界银行公布的216个国家（地区）人均GNI排名中，我国由2012年的第112位上升到2016年的第93位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国际影响力大幅提升。2016年，我国国内生产总值折合11.2万亿美元，占世界经济总量的14.8%，比2012年提高3.4个百分点，稳居世界第二位。2013-2016年，我国对世界经济增长的平均贡献率达到30%左右，超过美国、欧元区和日本贡献率的总和，居世界第一位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shd w:val="clear" w:fill="FFFFFF"/>
        </w:rPr>
        <w:t>二、创新驱动发展战略深入实施，新旧动能加快转换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科技创新取得重大突破。国家对科技创新的支持力度加大。2016年，研究与试验发展（R&amp;D）经费支出15677亿元，比2012年增长52.2%，与国内生产总值之比为2.11%，比2012年提高0.2个百分点。量子通信、高速铁路、载人航天、探月工程、射电望远镜、大飞机、载人深潜、超级计算机等一批具有标志性意义的科技成果涌现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大众创业万众创新蔚然成风。随着商事制度改革和“放管服”改革的持续深化，集众智汇众力的乘数效应不断显现。2014-2016年，全国新登记市场主体超过4400万户，其中新登记企业1362万户，年均增长30%。今年1-8月份,全国新登记企业399万户，其中8月份日均新登记企业1.7万户。专利申请量和授权量大幅增长。2016年，受理境内外专利申请量和授予专利权量分别比2012年增长69.0%和39.7%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发展迈向中高端水平。在新动能快速成长壮大的同时，传统产业改造步伐加快。2015-2016年，实物商品网上零售额年均增长28.6%，比社会消费品零售总额快18.1个百分点。今年1-8月份，实物商品网上零售额同比增长29.2%，比社会消费品零售总额快18.8个百分点。2016年，快递业务量313亿件，比2012年增长4.5倍，年均增长53.2%。今年1-8月份，快递业务量同比增长30.2%。平台经济、分享经济、协同经济等新模式广泛渗透，线上线下融合、跨境电商、智慧家庭、智能交流等新业态方兴未艾。“中国制造2025”“互联网+”等规划和行动有效实施，2013-2016年，工业技术改造投资年均增长13%，其中制造业技术改造投资年均增长14.3%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shd w:val="clear" w:fill="FFFFFF"/>
        </w:rPr>
        <w:t>三、供给侧结构性改革扎实推进，转型升级步伐加快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供给侧结构性改革成效显著。去产能进展顺利。2016年，钢铁、煤炭产能分别退出6500万吨以上和2.9亿吨以上，超额完成年度目标任务。今年1-7月，钢铁去产能已完成预定目标任务；煤炭去产能1.28亿吨，完成全年目标任务的85%。去库存成效明显。2016年末，全国商品房待售面积同比下降3.2%，其中住宅待售面积下降11.0%。今年8月末，商品房待售面积同比下降12%。去杠杆步伐稳健。2016年末，规模以上工业企业资产负债率为55.8%，比上年末下降0.4个百分点。今年8月末，规模以上工业企业资产负债率比上年同期下降0.7个百分点。降成本效果显现。2016年，规模以上工业企业每百元主营业务收入中的成本为85.52元，比上年下降0.1元。今年1-8月份，规模以上工业企业每百元主营业务收入中的成本比上年同期下降0.12元。补短板亮点突出。生态环保、农业、水利、战略性新兴产业等领域投资快速增长，办了一批当前急需又利长远的大事。今年1-8月份，生态保护和环境治理业、公共设施管理业、农业投资同比分别增长28.2%、24.3%和16.1%。农业供给侧结构性改革稳步推进。2016年粮食产量为61625万吨，连续4年稳定在1.2万亿斤的新台阶上，生产布局向优势地区集中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服务业已占国民经济半壁江山。2016年，第三产业增加值占国内生产总值比重为51.6%，比2012年提高6.3个百分点；今年上半年，第三产业增加值占国内生产总值的比重为54.1%。2013-2016年，服务业增加值年均增长8.0%，比国内生产总值增速高0.8个百分点；今年上半年，服务业增加值同比增长7.7%。“中国制造2025”深入实施，工业升级步伐加快。2013-2016年，装备制造业和高技术产业增加值年均分别实际增长9.4%和11.3%，快于规模以上工业1.9和3.8个百分点；今年1-8月份，装备制造业和高技术产业增加值同比分别增长11.4%和13.0%，快于规模以上工业4.7和6.3个百分点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消费成为经济增长主要驱动力。2013-2016年，最终消费对经济增长的年均贡献率为55%，高于资本形成贡献率8.5个百分点，经济增长靠的是内需拉动。今年上半年，最终消费对经济增长的贡献率为63.4%。2016年，最终消费占国内生产总值比率为53.6%，比2012年提高3.5个百分点；资本形成率为44.2%，下降3个百分点，消费和投资比例关系趋于合理，经济总量中内需占大头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城乡区域协调发展呈现新面貌。2016年末我国常住人口城镇化率为57.35%，比2012年末提高4.78个百分点。城乡基本公共服务均等化水平稳步提高，城乡差距继续缩小，2016年城乡居民收入倍差比2012年缩小0.16，今年上半年城乡居民收入倍差比上年同期缩小0.01。西部大开发、东北振兴、中部崛起、东部率先“四大板块”战略新举措不断推出，“一带一路”建设、京津冀协同发展、长江经济带三大战略扎实推进，雄安新区规划设立，一批国家和区域中心城市快速发展，新的增长极、增长带正在逐步形成。2013-2016年，东部、中部、西部和东北地区经济平均增长8.2%、8.7%、9.2%和5.3%，人均地区生产总值最高和最低省份之比从4.38：1缩小为4.28：1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shd w:val="clear" w:fill="FFFFFF"/>
        </w:rPr>
        <w:t>四、节能环保力度不断加大，生态建设进一步加强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节能和新能源发展取得新成绩。2016年，单位国内生产总值能耗、用水量分别比2012年下降17.9%和25.3%。今年上半年，单位国内生产总值能耗同比下降3.9%。2016年末，核电发电装机容量3364万千瓦，比2012年增长167.6%；并网风电14747万千瓦，增长140.1%；并网太阳能发电7631万千瓦，增长21.4倍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环保治污工作明显加强。2015年，全国化学需氧量排放量比2012年下降8.3%，氨氮排放量下降9.3%，二氧化硫排放量下降12.2%，氮氧化物排放量下降20.8%。2016年，在监测的338个城市中，空气质量达标的城市占24.9%，比上年提高3.3个百分点；细颗粒物（PM2.5）浓度为47微克/立方米，比上年下降6.0%。今年1-8月份，全国338个地级及以上城市PM2.5浓度同比下降2.3%。近岸海域海水水质监测点中，2016年达到国家一、二类海水水质标准的监测点占73.4%，比2012年提高4.0个百分点；四类、劣四类海水占16.3%，比2012年下降7.6个百分点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生态环境治理成效显现。2016年，全国完成造林面积720万公顷，比2012年增长28.7%；新增水土流失治理面积562万公顷，比2012年增长28.6%。2016年末，城市生活垃圾无害化处理率为96.6%，提高11.8个百分点；城市建成区绿地率为36.4%，提高0.7个百分点，城市环境综合治理能力不断提高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shd w:val="clear" w:fill="FFFFFF"/>
        </w:rPr>
        <w:t>五、“引进来”“走出去”并行扩大，对外开放水平持续提升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进出口贸易由量的扩张转向质的提升。2016年，我国货物进出口总额24.3万亿元，占世界贸易总额的比重保持在11%以上。货物贸易方式不断优化，一般贸易进出口占比由2012年的52.0%上升到2016年的55.1%，今年1-8月份进一步上升至56.8%。2016年，服务进出口总额6575亿美元，比2012年增长36.8%，年均增长8.1%，位居世界第二位。高附加值领域服务出口增长势头强劲，2016年信息服务、广告服务出口分别增长40.4%和38.1%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双向投资达到新水平。2013-2016年，我国累计实际使用外商直接投资4894亿美元，年均增长3.1%；累计非金融类对外直接投资4915亿美元，年均增长21.6%。吸收外资质量提高。2016年服务业实际使用外资5716亿元，比上年增长8.3%，其中高技术服务业实际使用外资增长86.1%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全方位开放拓展新空间。2016年，我国与“一带一路”沿线国家进出口总额6.3万亿元，占我国贸易总额比重达25.7%。今年1-8月份，我国对俄罗斯、印度、马来西亚等“一带一路”沿线国家出口同比分别增长24.1%、23.7%和17.3%。截至2016年末，我国企业在沿线国家建立初具规模的境外经贸合作区56个，累计投资超过185亿美元。今年1-8月份，我国企业对沿线52个国家新增投资达85.5亿美元，占对外投资总额的比重为12.4%，比上年同期提高4.3个百分点。一批重大工程和国际产能合作项目落地，高铁、核电“走出去”迈出坚实步伐，自由贸易区建设不断加快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shd w:val="clear" w:fill="FFFFFF"/>
        </w:rPr>
        <w:t>六、民生改善成效卓著，发展成果惠及全民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居民生活水平不断提高。2016年，全国居民人均可支配收入23821元，比2012年增加7311元，年均实际增长7.4%。2017年上半年居民人均可支配收入同比实际增长7.3%，超过国内生产总值增速0.4个百分点，超过人均国内生产总值增速0.9个百分点。消费升级步伐加快。2016年，全国居民恩格尔系数为30.1%，比2012年下降2.9个百分点，接近联合国划分的20%至30%的富足标准；交通通信、教育文化娱乐、医疗保健支出占居民消费支出的比重分别比2012年提高2.0、0.7和1.3个百分点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精准扶贫精准脱贫成效显著。按每人每年2300元（2010年不变价）的农村贫困标准计算，2016年农村贫困人口4335万人，比2012年减少5564万人；贫困发生率下降到4.5%，比2012年下降5.7个百分点。2013-2016年，贫困地区农村居民人均可支配收入年均实际增长10.7%，比全国农村居民收入快2.7个百分点，贫困地区农民收入增长快于全国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社会保障体系建立健全。2016年末，参加基本养老、城镇基本医疗、失业、工伤和生育保险人数分别比2012年末增加9980、20750、2864、2879和3022万人。城乡居民基本医疗保险制度整合取得实质性进展，2016年个人卫生支出占卫生总费用的比重下降到30%以下，基本医保总体实现全覆盖，覆盖城乡居民的社会保障体系基本建成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社会事业全面进步。居民受教育程度不断提高，我国15岁及以上人口平均受教育年限由2010年的9.05年提高到2015年的9.42年。医疗卫生条件不断改善，居民平均预期寿命由2010年的74.83岁提高到2015年的76.34岁，婴儿死亡率由2012年的10.3‰下降到2016年的7.5‰，孕产妇 死亡率由24.5/10万下降到19.9/10万。文化、体育事业加快发展。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综合来看，党的十八大以来，在以习近平同志为核心的党中央坚强领导下，全国上下创新进取，砥砺奋进，在全面建成小康社会和迈向中华民族伟大复兴的征程中再创新功，辉煌成就举世瞩目。下阶段，要更加紧密地团结在以习近平同志为核心的党中央周围，高举中国特色社会主义伟大旗帜，牢固树立中国特色社会主义道路自信、理论自信、制度自信、文化自信，振奋精神，再接再厉，深入推进伟大斗争、伟大工程、伟大事业，为实现“两个一百年”奋斗目标、实现中华民族伟大复兴的中国梦继续奋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1085C"/>
    <w:rsid w:val="6A110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840" w:lineRule="atLeast"/>
      <w:ind w:left="0" w:right="0"/>
      <w:jc w:val="center"/>
    </w:pPr>
    <w:rPr>
      <w:rFonts w:hint="eastAsia" w:ascii="微软雅黑" w:hAnsi="微软雅黑" w:eastAsia="微软雅黑" w:cs="微软雅黑"/>
      <w:kern w:val="44"/>
      <w:sz w:val="57"/>
      <w:szCs w:val="5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TML Definition"/>
    <w:basedOn w:val="4"/>
    <w:uiPriority w:val="0"/>
  </w:style>
  <w:style w:type="character" w:styleId="7">
    <w:name w:val="HTML Variable"/>
    <w:basedOn w:val="4"/>
    <w:uiPriority w:val="0"/>
  </w:style>
  <w:style w:type="character" w:styleId="8">
    <w:name w:val="Hyperlink"/>
    <w:basedOn w:val="4"/>
    <w:uiPriority w:val="0"/>
    <w:rPr>
      <w:color w:val="000000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  <w:style w:type="character" w:customStyle="1" w:styleId="12">
    <w:name w:val="place"/>
    <w:basedOn w:val="4"/>
    <w:uiPriority w:val="0"/>
    <w:rPr>
      <w:rFonts w:ascii="微软雅黑" w:hAnsi="微软雅黑" w:eastAsia="微软雅黑" w:cs="微软雅黑"/>
      <w:color w:val="888888"/>
      <w:sz w:val="25"/>
      <w:szCs w:val="25"/>
      <w:bdr w:val="none" w:color="auto" w:sz="0" w:space="0"/>
    </w:rPr>
  </w:style>
  <w:style w:type="character" w:customStyle="1" w:styleId="13">
    <w:name w:val="place1"/>
    <w:basedOn w:val="4"/>
    <w:uiPriority w:val="0"/>
    <w:rPr>
      <w:bdr w:val="none" w:color="auto" w:sz="0" w:space="0"/>
    </w:rPr>
  </w:style>
  <w:style w:type="character" w:customStyle="1" w:styleId="14">
    <w:name w:val="place2"/>
    <w:basedOn w:val="4"/>
    <w:uiPriority w:val="0"/>
    <w:rPr>
      <w:bdr w:val="none" w:color="auto" w:sz="0" w:space="0"/>
    </w:rPr>
  </w:style>
  <w:style w:type="character" w:customStyle="1" w:styleId="15">
    <w:name w:val="place3"/>
    <w:basedOn w:val="4"/>
    <w:uiPriority w:val="0"/>
    <w:rPr>
      <w:bdr w:val="none" w:color="auto" w:sz="0" w:space="0"/>
    </w:rPr>
  </w:style>
  <w:style w:type="character" w:customStyle="1" w:styleId="16">
    <w:name w:val="gwds_nopic"/>
    <w:basedOn w:val="4"/>
    <w:uiPriority w:val="0"/>
  </w:style>
  <w:style w:type="character" w:customStyle="1" w:styleId="17">
    <w:name w:val="noline"/>
    <w:basedOn w:val="4"/>
    <w:uiPriority w:val="0"/>
  </w:style>
  <w:style w:type="character" w:customStyle="1" w:styleId="18">
    <w:name w:val="font"/>
    <w:basedOn w:val="4"/>
    <w:uiPriority w:val="0"/>
  </w:style>
  <w:style w:type="character" w:customStyle="1" w:styleId="19">
    <w:name w:val="font1"/>
    <w:basedOn w:val="4"/>
    <w:uiPriority w:val="0"/>
  </w:style>
  <w:style w:type="character" w:customStyle="1" w:styleId="20">
    <w:name w:val="laypage_curr"/>
    <w:basedOn w:val="4"/>
    <w:uiPriority w:val="0"/>
    <w:rPr>
      <w:color w:val="FFFDF4"/>
      <w:shd w:val="clear" w:fill="0B67A6"/>
    </w:rPr>
  </w:style>
  <w:style w:type="character" w:customStyle="1" w:styleId="21">
    <w:name w:val="hover19"/>
    <w:basedOn w:val="4"/>
    <w:uiPriority w:val="0"/>
    <w:rPr>
      <w:color w:val="025291"/>
    </w:rPr>
  </w:style>
  <w:style w:type="character" w:customStyle="1" w:styleId="22">
    <w:name w:val="hover18"/>
    <w:basedOn w:val="4"/>
    <w:uiPriority w:val="0"/>
    <w:rPr>
      <w:color w:val="02529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2017-10-11T02:18:00Z</dcterms:created>
  <dc:creator>Administrator</dc:creator>
  <cp:lastModifiedBy>Administrator</cp:lastModifiedBy>
  <dcterms:modified xsi:type="dcterms:W3CDTF">2017-10-11T02:20:56Z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