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 w:hAnsi="仿宋" w:eastAsia="仿宋" w:cs="仿宋"/>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spacing w:line="360" w:lineRule="auto"/>
        <w:jc w:val="center"/>
        <w:outlineLvl w:val="0"/>
        <w:rPr>
          <w:rFonts w:eastAsia="方正小标宋简体"/>
          <w:sz w:val="44"/>
          <w:szCs w:val="44"/>
        </w:rPr>
      </w:pPr>
      <w:r>
        <w:rPr>
          <w:rFonts w:eastAsia="方正小标宋简体"/>
          <w:sz w:val="44"/>
          <w:szCs w:val="44"/>
        </w:rPr>
        <w:t>郑州商品交易所</w:t>
      </w:r>
      <w:r>
        <w:rPr>
          <w:rFonts w:hint="eastAsia" w:eastAsia="方正小标宋简体"/>
          <w:sz w:val="44"/>
          <w:szCs w:val="44"/>
          <w:lang w:eastAsia="zh-CN"/>
        </w:rPr>
        <w:t>干制红枣</w:t>
      </w:r>
      <w:r>
        <w:rPr>
          <w:rFonts w:eastAsia="方正小标宋简体"/>
          <w:sz w:val="44"/>
          <w:szCs w:val="44"/>
        </w:rPr>
        <w:t>期货业务细则</w:t>
      </w:r>
    </w:p>
    <w:p>
      <w:pPr>
        <w:spacing w:line="360" w:lineRule="auto"/>
        <w:jc w:val="center"/>
        <w:outlineLvl w:val="0"/>
        <w:rPr>
          <w:rFonts w:eastAsia="方正小标宋简体"/>
          <w:sz w:val="44"/>
          <w:szCs w:val="44"/>
        </w:rPr>
      </w:pPr>
      <w:r>
        <w:rPr>
          <w:rFonts w:hint="eastAsia" w:eastAsia="方正小标宋简体"/>
          <w:sz w:val="44"/>
          <w:szCs w:val="44"/>
        </w:rPr>
        <w:t>修订案</w:t>
      </w:r>
    </w:p>
    <w:p>
      <w:pPr>
        <w:spacing w:line="360" w:lineRule="auto"/>
        <w:ind w:firstLine="640" w:firstLineChars="200"/>
        <w:rPr>
          <w:rFonts w:eastAsia="仿宋" w:cs="仿宋"/>
          <w:sz w:val="32"/>
          <w:szCs w:val="32"/>
        </w:rPr>
      </w:pPr>
      <w:r>
        <w:rPr>
          <w:rFonts w:eastAsia="仿宋" w:cs="仿宋"/>
          <w:sz w:val="32"/>
          <w:szCs w:val="32"/>
        </w:rPr>
        <w:t>对《郑州商品交易所</w:t>
      </w:r>
      <w:r>
        <w:rPr>
          <w:rFonts w:hint="eastAsia" w:eastAsia="仿宋" w:cs="仿宋"/>
          <w:sz w:val="32"/>
          <w:szCs w:val="32"/>
          <w:lang w:eastAsia="zh-CN"/>
        </w:rPr>
        <w:t>干制红枣</w:t>
      </w:r>
      <w:r>
        <w:rPr>
          <w:rFonts w:eastAsia="仿宋" w:cs="仿宋"/>
          <w:sz w:val="32"/>
          <w:szCs w:val="32"/>
        </w:rPr>
        <w:t>期货业务细则》作如下修订：</w:t>
      </w:r>
    </w:p>
    <w:p>
      <w:pPr>
        <w:spacing w:line="360" w:lineRule="auto"/>
        <w:ind w:firstLine="640" w:firstLineChars="200"/>
        <w:outlineLvl w:val="0"/>
        <w:rPr>
          <w:rFonts w:hint="eastAsia" w:eastAsia="仿宋" w:cs="仿宋"/>
          <w:sz w:val="32"/>
          <w:szCs w:val="32"/>
          <w:lang w:val="en-US" w:eastAsia="zh-CN"/>
        </w:rPr>
      </w:pPr>
      <w:r>
        <w:rPr>
          <w:rFonts w:hint="eastAsia" w:eastAsia="仿宋" w:cs="仿宋"/>
          <w:sz w:val="32"/>
          <w:szCs w:val="32"/>
          <w:lang w:eastAsia="zh-CN"/>
        </w:rPr>
        <w:t>一、</w:t>
      </w:r>
      <w:r>
        <w:rPr>
          <w:rFonts w:hint="eastAsia" w:eastAsia="仿宋" w:cs="仿宋"/>
          <w:sz w:val="32"/>
          <w:szCs w:val="32"/>
        </w:rPr>
        <w:t>新增</w:t>
      </w:r>
      <w:r>
        <w:rPr>
          <w:rFonts w:hint="eastAsia" w:eastAsia="仿宋" w:cs="仿宋"/>
          <w:sz w:val="32"/>
          <w:szCs w:val="32"/>
          <w:lang w:val="en-US" w:eastAsia="zh-CN"/>
        </w:rPr>
        <w:t>第五十一条</w:t>
      </w:r>
      <w:r>
        <w:rPr>
          <w:rFonts w:hint="eastAsia" w:eastAsia="仿宋" w:cs="仿宋"/>
          <w:sz w:val="32"/>
          <w:szCs w:val="32"/>
        </w:rPr>
        <w:t>，其他条款相应顺延：</w:t>
      </w:r>
    </w:p>
    <w:p>
      <w:pPr>
        <w:ind w:firstLine="640" w:firstLineChars="200"/>
        <w:rPr>
          <w:rFonts w:ascii="仿宋" w:hAnsi="仿宋" w:eastAsia="仿宋" w:cs="仿宋"/>
          <w:sz w:val="32"/>
          <w:szCs w:val="32"/>
        </w:rPr>
      </w:pPr>
      <w:r>
        <w:rPr>
          <w:rFonts w:hint="eastAsia" w:ascii="仿宋" w:hAnsi="仿宋" w:eastAsia="仿宋" w:cs="仿宋"/>
          <w:b w:val="0"/>
          <w:bCs w:val="0"/>
          <w:sz w:val="32"/>
          <w:szCs w:val="32"/>
          <w:lang w:eastAsia="zh-CN"/>
        </w:rPr>
        <w:t>“第五十一条</w:t>
      </w:r>
      <w:r>
        <w:rPr>
          <w:rFonts w:hint="eastAsia" w:ascii="仿宋" w:hAnsi="仿宋" w:eastAsia="仿宋" w:cs="仿宋"/>
          <w:b w:val="0"/>
          <w:bCs w:val="0"/>
          <w:sz w:val="32"/>
          <w:szCs w:val="32"/>
          <w:lang w:val="en-US" w:eastAsia="zh-CN"/>
        </w:rPr>
        <w:t xml:space="preserve"> </w:t>
      </w:r>
      <w:r>
        <w:rPr>
          <w:rFonts w:hint="eastAsia" w:ascii="仿宋" w:hAnsi="仿宋" w:eastAsia="仿宋" w:cs="仿宋"/>
          <w:sz w:val="32"/>
          <w:szCs w:val="32"/>
          <w:lang w:val="en-US" w:eastAsia="zh-CN"/>
        </w:rPr>
        <w:t>红枣</w:t>
      </w:r>
      <w:r>
        <w:rPr>
          <w:rFonts w:hint="eastAsia" w:ascii="仿宋" w:hAnsi="仿宋" w:eastAsia="仿宋" w:cs="仿宋"/>
          <w:sz w:val="32"/>
          <w:szCs w:val="32"/>
        </w:rPr>
        <w:t>期货车（船）板交割应当进行交割预报。单一客户在单个交割服务机构的车（船）板交割数量不得超过该客户在该交割服务机构交割预报的数量。</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“红枣</w:t>
      </w:r>
      <w:r>
        <w:rPr>
          <w:rFonts w:hint="eastAsia" w:ascii="仿宋" w:hAnsi="仿宋" w:eastAsia="仿宋" w:cs="仿宋"/>
          <w:sz w:val="32"/>
          <w:szCs w:val="32"/>
        </w:rPr>
        <w:t>期货车（船）板交割卖方的交割预报应当委托会员办理。会员填写《</w:t>
      </w:r>
      <w:r>
        <w:rPr>
          <w:rFonts w:hint="eastAsia" w:ascii="仿宋" w:hAnsi="仿宋" w:eastAsia="仿宋" w:cs="仿宋"/>
          <w:sz w:val="32"/>
          <w:szCs w:val="32"/>
          <w:lang w:eastAsia="zh-CN"/>
        </w:rPr>
        <w:t>红枣</w:t>
      </w:r>
      <w:r>
        <w:rPr>
          <w:rFonts w:hint="eastAsia" w:ascii="仿宋" w:hAnsi="仿宋" w:eastAsia="仿宋" w:cs="仿宋"/>
          <w:sz w:val="32"/>
          <w:szCs w:val="32"/>
        </w:rPr>
        <w:t>车（船）板交割预报单》，并通过会员服务系统向交割服务机构提出预报。《</w:t>
      </w:r>
      <w:r>
        <w:rPr>
          <w:rFonts w:hint="eastAsia" w:ascii="仿宋" w:hAnsi="仿宋" w:eastAsia="仿宋" w:cs="仿宋"/>
          <w:sz w:val="32"/>
          <w:szCs w:val="32"/>
          <w:lang w:eastAsia="zh-CN"/>
        </w:rPr>
        <w:t>红枣</w:t>
      </w:r>
      <w:r>
        <w:rPr>
          <w:rFonts w:hint="eastAsia" w:ascii="仿宋" w:hAnsi="仿宋" w:eastAsia="仿宋" w:cs="仿宋"/>
          <w:sz w:val="32"/>
          <w:szCs w:val="32"/>
        </w:rPr>
        <w:t>车（船）板交割预报单》信息包括：交割服务机构、货物数量</w:t>
      </w:r>
      <w:r>
        <w:rPr>
          <w:rFonts w:hint="eastAsia" w:ascii="仿宋" w:hAnsi="仿宋" w:eastAsia="仿宋" w:cs="仿宋"/>
          <w:sz w:val="32"/>
          <w:szCs w:val="32"/>
          <w:lang w:eastAsia="zh-CN"/>
        </w:rPr>
        <w:t>等</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交割预报数量较大的，交易所可以要求卖方提供拥有货物的权属证明。</w:t>
      </w:r>
    </w:p>
    <w:p>
      <w:pPr>
        <w:ind w:firstLine="640" w:firstLineChars="200"/>
        <w:outlineLvl w:val="0"/>
        <w:rPr>
          <w:rFonts w:hint="eastAsia" w:ascii="仿宋" w:hAnsi="仿宋" w:eastAsia="仿宋" w:cs="仿宋"/>
          <w:sz w:val="32"/>
          <w:szCs w:val="32"/>
          <w:highlight w:val="cyan"/>
          <w:lang w:val="en-US" w:eastAsia="zh-CN"/>
        </w:rPr>
      </w:pPr>
      <w:r>
        <w:rPr>
          <w:rFonts w:hint="eastAsia" w:ascii="仿宋" w:hAnsi="仿宋" w:eastAsia="仿宋" w:cs="仿宋"/>
          <w:sz w:val="32"/>
          <w:szCs w:val="32"/>
          <w:lang w:eastAsia="zh-CN"/>
        </w:rPr>
        <w:t>“交割服务机构自交割月前一月第</w:t>
      </w:r>
      <w:r>
        <w:rPr>
          <w:rFonts w:hint="default" w:ascii="Times New Roman" w:hAnsi="Times New Roman" w:eastAsia="仿宋" w:cs="Times New Roman"/>
          <w:sz w:val="32"/>
          <w:szCs w:val="32"/>
          <w:lang w:eastAsia="zh-CN"/>
        </w:rPr>
        <w:t>13</w:t>
      </w:r>
      <w:r>
        <w:rPr>
          <w:rFonts w:hint="eastAsia" w:ascii="仿宋" w:hAnsi="仿宋" w:eastAsia="仿宋" w:cs="仿宋"/>
          <w:sz w:val="32"/>
          <w:szCs w:val="32"/>
          <w:lang w:eastAsia="zh-CN"/>
        </w:rPr>
        <w:t>个交易日开始接受交割预报。参与滚动交割的卖方，应当于提出交割申请前在对应的交割服务机构完成交割预报；参与集中交割的卖方，应当于最后交易日之前（含该日）在对应的交割服务机构完成交割预报。</w:t>
      </w:r>
      <w:r>
        <w:rPr>
          <w:rFonts w:hint="eastAsia" w:ascii="仿宋" w:hAnsi="仿宋" w:eastAsia="仿宋" w:cs="仿宋"/>
          <w:sz w:val="32"/>
          <w:szCs w:val="32"/>
          <w:highlight w:val="none"/>
          <w:lang w:eastAsia="zh-CN"/>
        </w:rPr>
        <w:t>交割预报自《红枣车（船）板接收通知单》开具之日起（含该日）生效，有效期至最近交割月的第</w:t>
      </w:r>
      <w:r>
        <w:rPr>
          <w:rFonts w:hint="default" w:ascii="Times New Roman" w:hAnsi="Times New Roman" w:eastAsia="仿宋" w:cs="Times New Roman"/>
          <w:sz w:val="32"/>
          <w:szCs w:val="32"/>
          <w:highlight w:val="none"/>
          <w:lang w:val="en-US" w:eastAsia="zh-CN"/>
        </w:rPr>
        <w:t>11</w:t>
      </w:r>
      <w:r>
        <w:rPr>
          <w:rFonts w:hint="eastAsia" w:ascii="仿宋" w:hAnsi="仿宋" w:eastAsia="仿宋" w:cs="仿宋"/>
          <w:sz w:val="32"/>
          <w:szCs w:val="32"/>
          <w:highlight w:val="none"/>
          <w:lang w:val="en-US" w:eastAsia="zh-CN"/>
        </w:rPr>
        <w:t>个交易日。</w:t>
      </w:r>
    </w:p>
    <w:p>
      <w:pPr>
        <w:ind w:firstLine="640" w:firstLineChars="200"/>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“交割服务机构应当在接到会员《红枣车（船）板交割预报单》之日起（含该日）</w:t>
      </w:r>
      <w:r>
        <w:rPr>
          <w:rFonts w:hint="default" w:ascii="Times New Roman" w:hAnsi="Times New Roman" w:eastAsia="仿宋" w:cs="Times New Roman"/>
          <w:sz w:val="32"/>
          <w:szCs w:val="32"/>
          <w:lang w:eastAsia="zh-CN"/>
        </w:rPr>
        <w:t>2</w:t>
      </w:r>
      <w:r>
        <w:rPr>
          <w:rFonts w:hint="eastAsia" w:ascii="仿宋" w:hAnsi="仿宋" w:eastAsia="仿宋" w:cs="仿宋"/>
          <w:sz w:val="32"/>
          <w:szCs w:val="32"/>
          <w:lang w:eastAsia="zh-CN"/>
        </w:rPr>
        <w:t>个工作日内，通过会员服务系统回复会员能够接收的货物数量。会员应当在接到交割服务机构同意接收的回复之日起（含该日）</w:t>
      </w:r>
      <w:r>
        <w:rPr>
          <w:rFonts w:hint="default" w:ascii="Times New Roman" w:hAnsi="Times New Roman" w:eastAsia="仿宋" w:cs="Times New Roman"/>
          <w:sz w:val="32"/>
          <w:szCs w:val="32"/>
          <w:lang w:eastAsia="zh-CN"/>
        </w:rPr>
        <w:t>2</w:t>
      </w:r>
      <w:r>
        <w:rPr>
          <w:rFonts w:hint="eastAsia" w:ascii="仿宋" w:hAnsi="仿宋" w:eastAsia="仿宋" w:cs="仿宋"/>
          <w:sz w:val="32"/>
          <w:szCs w:val="32"/>
          <w:lang w:eastAsia="zh-CN"/>
        </w:rPr>
        <w:t>个工作日之内，代客户或由客户直接向交割服务机构交纳交割预报定金。交割服务机构应当在收到交割预报定金之日起（含该日）的第</w:t>
      </w:r>
      <w:r>
        <w:rPr>
          <w:rFonts w:hint="default" w:ascii="Times New Roman" w:hAnsi="Times New Roman" w:eastAsia="仿宋" w:cs="Times New Roman"/>
          <w:sz w:val="32"/>
          <w:szCs w:val="32"/>
          <w:lang w:eastAsia="zh-CN"/>
        </w:rPr>
        <w:t>1</w:t>
      </w:r>
      <w:r>
        <w:rPr>
          <w:rFonts w:hint="eastAsia" w:ascii="仿宋" w:hAnsi="仿宋" w:eastAsia="仿宋" w:cs="仿宋"/>
          <w:sz w:val="32"/>
          <w:szCs w:val="32"/>
          <w:lang w:eastAsia="zh-CN"/>
        </w:rPr>
        <w:t>个工作日，向卖方会员开具《红枣车（船）板接收通知单》，视为交割预报完成。会员应当及时将交割预报结果通知客户。</w:t>
      </w:r>
    </w:p>
    <w:p>
      <w:pPr>
        <w:ind w:firstLine="640" w:firstLineChars="200"/>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“红枣期货卖方应当按照车（船）板交割服务费的标准交纳交割预报定金。</w:t>
      </w:r>
    </w:p>
    <w:p>
      <w:pPr>
        <w:ind w:firstLine="640" w:firstLineChars="200"/>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“申请车（船）板交割的货物已存放在交割服务机构的，卖方应当办理交割预报，无须交纳交割预报定金。”</w:t>
      </w:r>
    </w:p>
    <w:p>
      <w:pPr>
        <w:numPr>
          <w:ilvl w:val="0"/>
          <w:numId w:val="0"/>
        </w:numPr>
        <w:ind w:firstLine="640" w:firstLineChars="200"/>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二、将原第五十三条第二款修订为：</w:t>
      </w:r>
    </w:p>
    <w:p>
      <w:pPr>
        <w:ind w:firstLine="640" w:firstLineChars="200"/>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“红枣期货合约的买卖双方应当在第三交割日后（不含该日）第</w:t>
      </w:r>
      <w:r>
        <w:rPr>
          <w:rFonts w:hint="default" w:ascii="Times New Roman" w:hAnsi="Times New Roman" w:eastAsia="仿宋" w:cs="Times New Roman"/>
          <w:sz w:val="32"/>
          <w:szCs w:val="32"/>
          <w:lang w:val="en-US" w:eastAsia="zh-CN"/>
        </w:rPr>
        <w:t>1</w:t>
      </w:r>
      <w:r>
        <w:rPr>
          <w:rFonts w:hint="eastAsia" w:ascii="仿宋" w:hAnsi="仿宋" w:eastAsia="仿宋" w:cs="仿宋"/>
          <w:sz w:val="32"/>
          <w:szCs w:val="32"/>
          <w:lang w:eastAsia="zh-CN"/>
        </w:rPr>
        <w:t>个日历日进行货物交收。卖方未在货物交收日下午</w:t>
      </w:r>
      <w:r>
        <w:rPr>
          <w:rFonts w:hint="default" w:ascii="Times New Roman" w:hAnsi="Times New Roman" w:eastAsia="仿宋" w:cs="Times New Roman"/>
          <w:sz w:val="32"/>
          <w:szCs w:val="32"/>
          <w:lang w:eastAsia="zh-CN"/>
        </w:rPr>
        <w:t>1</w:t>
      </w:r>
      <w:r>
        <w:rPr>
          <w:rFonts w:hint="eastAsia" w:ascii="仿宋" w:hAnsi="仿宋" w:eastAsia="仿宋" w:cs="仿宋"/>
          <w:sz w:val="32"/>
          <w:szCs w:val="32"/>
          <w:lang w:eastAsia="zh-CN"/>
        </w:rPr>
        <w:t>时</w:t>
      </w:r>
      <w:r>
        <w:rPr>
          <w:rFonts w:hint="default" w:ascii="Times New Roman" w:hAnsi="Times New Roman" w:eastAsia="仿宋" w:cs="Times New Roman"/>
          <w:sz w:val="32"/>
          <w:szCs w:val="32"/>
          <w:lang w:eastAsia="zh-CN"/>
        </w:rPr>
        <w:t>30</w:t>
      </w:r>
      <w:r>
        <w:rPr>
          <w:rFonts w:hint="eastAsia" w:ascii="仿宋" w:hAnsi="仿宋" w:eastAsia="仿宋" w:cs="仿宋"/>
          <w:sz w:val="32"/>
          <w:szCs w:val="32"/>
          <w:lang w:eastAsia="zh-CN"/>
        </w:rPr>
        <w:t>分前将货物运达交割服务机构或买方未按时到场监收的，视为未按规定时间交收货物，新的交收时间由交割服务机构根据自身服务能力重新确定并通知买卖双方。当日交收量超过交割服务机构服务能力的，交割服务机构可以延后交收时间，并通知买卖双方。”</w:t>
      </w:r>
    </w:p>
    <w:p>
      <w:pPr>
        <w:ind w:firstLine="640" w:firstLineChars="200"/>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三、在原第五十四条新增一款作为第一款：</w:t>
      </w:r>
    </w:p>
    <w:p>
      <w:pPr>
        <w:ind w:firstLine="640" w:firstLineChars="200"/>
        <w:rPr>
          <w:rFonts w:hint="eastAsia" w:eastAsia="方正小标宋简体"/>
          <w:sz w:val="44"/>
          <w:szCs w:val="44"/>
        </w:rPr>
      </w:pPr>
      <w:r>
        <w:rPr>
          <w:rFonts w:hint="eastAsia" w:ascii="仿宋" w:hAnsi="仿宋" w:eastAsia="仿宋" w:cs="仿宋"/>
          <w:sz w:val="32"/>
          <w:szCs w:val="32"/>
          <w:lang w:eastAsia="zh-CN"/>
        </w:rPr>
        <w:t>“第五十五条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自货物到达接受交割预报的交割服务机构之日起</w:t>
      </w:r>
      <w:r>
        <w:rPr>
          <w:rFonts w:hint="default" w:ascii="Times New Roman" w:hAnsi="Times New Roman" w:eastAsia="仿宋" w:cs="Times New Roman"/>
          <w:sz w:val="32"/>
          <w:szCs w:val="32"/>
        </w:rPr>
        <w:t>2</w:t>
      </w:r>
      <w:r>
        <w:rPr>
          <w:rFonts w:hint="eastAsia" w:ascii="仿宋" w:hAnsi="仿宋" w:eastAsia="仿宋" w:cs="仿宋"/>
          <w:sz w:val="32"/>
          <w:szCs w:val="32"/>
        </w:rPr>
        <w:t>个工作日内，交割预报定金予以</w:t>
      </w:r>
      <w:r>
        <w:rPr>
          <w:rFonts w:hint="eastAsia" w:ascii="Times New Roman" w:hAnsi="Times New Roman" w:eastAsia="仿宋" w:cs="Times New Roman"/>
          <w:sz w:val="32"/>
          <w:szCs w:val="32"/>
        </w:rPr>
        <w:t>返还；部分到达的，按实际到达量返还；未到达的，不予返还。</w:t>
      </w:r>
      <w:r>
        <w:rPr>
          <w:rFonts w:hint="eastAsia" w:ascii="Times New Roman" w:hAnsi="Times New Roman" w:eastAsia="仿宋" w:cs="Times New Roman"/>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其他条款序号根据新增条款相应顺延调整。</w:t>
      </w:r>
    </w:p>
    <w:p>
      <w:pPr>
        <w:ind w:firstLine="640" w:firstLineChars="200"/>
        <w:rPr>
          <w:rFonts w:ascii="仿宋" w:hAnsi="仿宋" w:eastAsia="仿宋" w:cs="仿宋"/>
          <w:strike/>
          <w:sz w:val="32"/>
          <w:szCs w:val="32"/>
        </w:rPr>
      </w:pPr>
    </w:p>
    <w:p>
      <w:pPr>
        <w:spacing w:line="360" w:lineRule="auto"/>
        <w:jc w:val="center"/>
        <w:outlineLvl w:val="0"/>
        <w:rPr>
          <w:rFonts w:eastAsia="方正小标宋简体"/>
          <w:sz w:val="44"/>
          <w:szCs w:val="44"/>
        </w:rPr>
      </w:pPr>
      <w:r>
        <w:rPr>
          <w:rFonts w:hint="eastAsia" w:ascii="方正小标宋简体" w:hAnsi="宋体" w:eastAsia="方正小标宋简体"/>
          <w:bCs/>
          <w:sz w:val="44"/>
          <w:szCs w:val="44"/>
          <w:lang w:val="en-US" w:eastAsia="zh-CN"/>
        </w:rPr>
        <w:br w:type="page"/>
      </w:r>
      <w:r>
        <w:rPr>
          <w:rFonts w:eastAsia="方正小标宋简体"/>
          <w:sz w:val="44"/>
          <w:szCs w:val="44"/>
        </w:rPr>
        <w:t>郑州商品交易所</w:t>
      </w:r>
      <w:r>
        <w:rPr>
          <w:rFonts w:hint="eastAsia" w:eastAsia="方正小标宋简体"/>
          <w:sz w:val="44"/>
          <w:szCs w:val="44"/>
          <w:lang w:eastAsia="zh-CN"/>
        </w:rPr>
        <w:t>干制红枣</w:t>
      </w:r>
      <w:r>
        <w:rPr>
          <w:rFonts w:eastAsia="方正小标宋简体"/>
          <w:sz w:val="44"/>
          <w:szCs w:val="44"/>
        </w:rPr>
        <w:t>期货业务细则</w:t>
      </w:r>
    </w:p>
    <w:p>
      <w:pPr>
        <w:spacing w:line="360" w:lineRule="auto"/>
        <w:jc w:val="center"/>
        <w:outlineLvl w:val="0"/>
        <w:rPr>
          <w:rFonts w:hint="eastAsia" w:eastAsia="方正小标宋简体"/>
          <w:sz w:val="44"/>
          <w:szCs w:val="44"/>
          <w:lang w:eastAsia="zh-CN"/>
        </w:rPr>
      </w:pPr>
      <w:r>
        <w:rPr>
          <w:rFonts w:hint="eastAsia" w:eastAsia="方正小标宋简体"/>
          <w:sz w:val="44"/>
          <w:szCs w:val="44"/>
        </w:rPr>
        <w:t>修订条款对照表</w:t>
      </w:r>
    </w:p>
    <w:tbl>
      <w:tblPr>
        <w:tblStyle w:val="6"/>
        <w:tblW w:w="84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8"/>
        <w:gridCol w:w="4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 w:hAnsi="仿宋" w:eastAsia="仿宋" w:cs="仿宋"/>
                <w:szCs w:val="21"/>
              </w:rPr>
            </w:pPr>
            <w:r>
              <w:rPr>
                <w:rFonts w:hint="eastAsia" w:ascii="黑体" w:hAnsi="黑体" w:eastAsia="黑体" w:cs="黑体"/>
                <w:szCs w:val="21"/>
              </w:rPr>
              <w:t>现行条文</w:t>
            </w:r>
          </w:p>
        </w:tc>
        <w:tc>
          <w:tcPr>
            <w:tcW w:w="423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b/>
                <w:bCs/>
                <w:szCs w:val="21"/>
                <w:highlight w:val="yellow"/>
                <w:u w:val="single"/>
                <w:lang w:eastAsia="zh-CN"/>
              </w:rPr>
            </w:pPr>
            <w:r>
              <w:rPr>
                <w:rFonts w:hint="eastAsia" w:ascii="黑体" w:hAnsi="黑体" w:eastAsia="黑体" w:cs="黑体"/>
                <w:szCs w:val="21"/>
              </w:rPr>
              <w:t>修订后条文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248"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jc w:val="left"/>
              <w:rPr>
                <w:rFonts w:hint="default" w:ascii="仿宋" w:hAnsi="仿宋" w:eastAsia="仿宋" w:cs="仿宋"/>
                <w:szCs w:val="21"/>
                <w:lang w:val="en-US" w:eastAsia="zh-CN"/>
              </w:rPr>
            </w:pPr>
            <w:r>
              <w:rPr>
                <w:rFonts w:hint="eastAsia" w:ascii="仿宋" w:hAnsi="仿宋" w:eastAsia="仿宋" w:cs="仿宋"/>
                <w:szCs w:val="21"/>
                <w:lang w:val="en-US" w:eastAsia="zh-CN"/>
              </w:rPr>
              <w:t>无，新增一条作为第五十一条</w:t>
            </w:r>
          </w:p>
        </w:tc>
        <w:tc>
          <w:tcPr>
            <w:tcW w:w="4233" w:type="dxa"/>
            <w:tcBorders>
              <w:top w:val="single" w:color="auto" w:sz="4" w:space="0"/>
              <w:left w:val="single" w:color="auto" w:sz="4" w:space="0"/>
              <w:right w:val="single" w:color="auto" w:sz="4" w:space="0"/>
            </w:tcBorders>
            <w:noWrap w:val="0"/>
            <w:vAlign w:val="top"/>
          </w:tcPr>
          <w:p>
            <w:pPr>
              <w:ind w:firstLine="421" w:firstLineChars="200"/>
              <w:jc w:val="both"/>
              <w:rPr>
                <w:rFonts w:ascii="仿宋" w:hAnsi="仿宋" w:eastAsia="仿宋" w:cs="仿宋"/>
                <w:b/>
                <w:bCs/>
                <w:szCs w:val="21"/>
                <w:u w:val="single"/>
              </w:rPr>
            </w:pPr>
            <w:r>
              <w:rPr>
                <w:rFonts w:hint="eastAsia" w:ascii="仿宋" w:hAnsi="仿宋" w:eastAsia="仿宋" w:cs="仿宋"/>
                <w:b/>
                <w:bCs/>
                <w:szCs w:val="21"/>
                <w:u w:val="single"/>
                <w:lang w:eastAsia="zh-CN"/>
              </w:rPr>
              <w:t>第五十一条</w:t>
            </w:r>
            <w:r>
              <w:rPr>
                <w:rFonts w:hint="eastAsia" w:ascii="仿宋" w:hAnsi="仿宋" w:eastAsia="仿宋" w:cs="仿宋"/>
                <w:b/>
                <w:bCs/>
                <w:szCs w:val="21"/>
                <w:u w:val="single"/>
                <w:lang w:val="en-US" w:eastAsia="zh-CN"/>
              </w:rPr>
              <w:t xml:space="preserve"> 红枣</w:t>
            </w:r>
            <w:r>
              <w:rPr>
                <w:rFonts w:hint="eastAsia" w:ascii="仿宋" w:hAnsi="仿宋" w:eastAsia="仿宋" w:cs="仿宋"/>
                <w:b/>
                <w:bCs/>
                <w:szCs w:val="21"/>
                <w:u w:val="single"/>
              </w:rPr>
              <w:t>期货车（船）板交割应当进行交割预报。单一客户在单个交割服务机构的车（船）板交割数量不得超过该客户在该交割服务机构交割预报的数量。</w:t>
            </w:r>
          </w:p>
          <w:p>
            <w:pPr>
              <w:ind w:firstLine="421" w:firstLineChars="200"/>
              <w:jc w:val="both"/>
              <w:rPr>
                <w:rFonts w:ascii="仿宋" w:hAnsi="仿宋" w:eastAsia="仿宋" w:cs="仿宋"/>
                <w:b/>
                <w:bCs/>
                <w:szCs w:val="21"/>
                <w:u w:val="single"/>
              </w:rPr>
            </w:pPr>
            <w:r>
              <w:rPr>
                <w:rFonts w:hint="eastAsia" w:ascii="仿宋" w:hAnsi="仿宋" w:eastAsia="仿宋" w:cs="仿宋"/>
                <w:b/>
                <w:bCs/>
                <w:szCs w:val="21"/>
                <w:u w:val="single"/>
                <w:lang w:eastAsia="zh-CN"/>
              </w:rPr>
              <w:t>红枣</w:t>
            </w:r>
            <w:r>
              <w:rPr>
                <w:rFonts w:hint="eastAsia" w:ascii="仿宋" w:hAnsi="仿宋" w:eastAsia="仿宋" w:cs="仿宋"/>
                <w:b/>
                <w:bCs/>
                <w:szCs w:val="21"/>
                <w:u w:val="single"/>
              </w:rPr>
              <w:t>期货车（船）板交割卖方的交割预报应当委托会员办理。会员填写《</w:t>
            </w:r>
            <w:r>
              <w:rPr>
                <w:rFonts w:hint="eastAsia" w:ascii="仿宋" w:hAnsi="仿宋" w:eastAsia="仿宋" w:cs="仿宋"/>
                <w:b/>
                <w:bCs/>
                <w:szCs w:val="21"/>
                <w:u w:val="single"/>
                <w:lang w:eastAsia="zh-CN"/>
              </w:rPr>
              <w:t>红枣</w:t>
            </w:r>
            <w:r>
              <w:rPr>
                <w:rFonts w:hint="eastAsia" w:ascii="仿宋" w:hAnsi="仿宋" w:eastAsia="仿宋" w:cs="仿宋"/>
                <w:b/>
                <w:bCs/>
                <w:szCs w:val="21"/>
                <w:u w:val="single"/>
              </w:rPr>
              <w:t>车（船）板交割预报单》，并通过会员服务系统向交割服务机构提出预报。《</w:t>
            </w:r>
            <w:r>
              <w:rPr>
                <w:rFonts w:hint="eastAsia" w:ascii="仿宋" w:hAnsi="仿宋" w:eastAsia="仿宋" w:cs="仿宋"/>
                <w:b/>
                <w:bCs/>
                <w:szCs w:val="21"/>
                <w:u w:val="single"/>
                <w:lang w:eastAsia="zh-CN"/>
              </w:rPr>
              <w:t>红枣</w:t>
            </w:r>
            <w:r>
              <w:rPr>
                <w:rFonts w:hint="eastAsia" w:ascii="仿宋" w:hAnsi="仿宋" w:eastAsia="仿宋" w:cs="仿宋"/>
                <w:b/>
                <w:bCs/>
                <w:szCs w:val="21"/>
                <w:u w:val="single"/>
              </w:rPr>
              <w:t>车（船）板交割预报单》信息包括：交割服务机构、货物数量等。</w:t>
            </w:r>
          </w:p>
          <w:p>
            <w:pPr>
              <w:ind w:firstLine="421" w:firstLineChars="200"/>
              <w:jc w:val="both"/>
              <w:rPr>
                <w:rFonts w:ascii="仿宋" w:hAnsi="仿宋" w:eastAsia="仿宋" w:cs="仿宋"/>
                <w:b/>
                <w:bCs/>
                <w:szCs w:val="21"/>
                <w:u w:val="single"/>
              </w:rPr>
            </w:pPr>
            <w:r>
              <w:rPr>
                <w:rFonts w:hint="eastAsia" w:ascii="仿宋" w:hAnsi="仿宋" w:eastAsia="仿宋" w:cs="仿宋"/>
                <w:b/>
                <w:bCs/>
                <w:szCs w:val="21"/>
                <w:u w:val="single"/>
              </w:rPr>
              <w:t>交割预报数量较大的，交易所可以要求卖方提供拥有货物的权属证明。</w:t>
            </w:r>
          </w:p>
          <w:p>
            <w:pPr>
              <w:ind w:firstLine="421" w:firstLineChars="200"/>
              <w:jc w:val="both"/>
              <w:rPr>
                <w:rFonts w:hint="eastAsia" w:ascii="仿宋" w:hAnsi="仿宋" w:eastAsia="仿宋" w:cs="仿宋"/>
                <w:b/>
                <w:bCs/>
                <w:szCs w:val="21"/>
                <w:highlight w:val="none"/>
                <w:u w:val="single"/>
                <w:lang w:eastAsia="zh-CN"/>
              </w:rPr>
            </w:pPr>
            <w:r>
              <w:rPr>
                <w:rFonts w:hint="eastAsia" w:ascii="仿宋" w:hAnsi="仿宋" w:eastAsia="仿宋" w:cs="仿宋"/>
                <w:b/>
                <w:bCs/>
                <w:szCs w:val="21"/>
                <w:u w:val="single"/>
              </w:rPr>
              <w:t>交割服务机构自交割月前一</w:t>
            </w:r>
            <w:r>
              <w:rPr>
                <w:rFonts w:hint="default" w:ascii="仿宋" w:hAnsi="仿宋" w:eastAsia="仿宋" w:cs="仿宋"/>
                <w:b/>
                <w:bCs/>
                <w:szCs w:val="21"/>
                <w:u w:val="single"/>
              </w:rPr>
              <w:t>月第</w:t>
            </w:r>
            <w:r>
              <w:rPr>
                <w:rFonts w:hint="default" w:ascii="Times New Roman" w:hAnsi="Times New Roman" w:eastAsia="仿宋" w:cs="Times New Roman"/>
                <w:b/>
                <w:bCs/>
                <w:szCs w:val="21"/>
                <w:u w:val="single"/>
              </w:rPr>
              <w:t>13</w:t>
            </w:r>
            <w:r>
              <w:rPr>
                <w:rFonts w:hint="default" w:ascii="仿宋" w:hAnsi="仿宋" w:eastAsia="仿宋" w:cs="仿宋"/>
                <w:b/>
                <w:bCs/>
                <w:szCs w:val="21"/>
                <w:u w:val="single"/>
              </w:rPr>
              <w:t>个交易日开始接受交割预报。</w:t>
            </w:r>
            <w:r>
              <w:rPr>
                <w:rFonts w:hint="eastAsia" w:ascii="仿宋" w:hAnsi="仿宋" w:eastAsia="仿宋" w:cs="仿宋"/>
                <w:b/>
                <w:bCs/>
                <w:szCs w:val="21"/>
                <w:u w:val="single"/>
                <w:lang w:eastAsia="zh-CN"/>
              </w:rPr>
              <w:t>参与滚动交割的卖方，应当于提出交割申请前在对应的交割服务机构完成交割预报；参与集中交割的卖方，应当于最后交易日之前（含该日）在对应的交割服务机构完成交割预报。</w:t>
            </w:r>
            <w:r>
              <w:rPr>
                <w:rFonts w:hint="eastAsia" w:ascii="仿宋" w:hAnsi="仿宋" w:eastAsia="仿宋" w:cs="仿宋"/>
                <w:b/>
                <w:bCs/>
                <w:szCs w:val="21"/>
                <w:highlight w:val="none"/>
                <w:u w:val="single"/>
                <w:lang w:eastAsia="zh-CN"/>
              </w:rPr>
              <w:t>交割预报自</w:t>
            </w:r>
            <w:r>
              <w:rPr>
                <w:rFonts w:hint="default" w:ascii="仿宋" w:hAnsi="仿宋" w:eastAsia="仿宋" w:cs="仿宋"/>
                <w:b/>
                <w:bCs/>
                <w:szCs w:val="21"/>
                <w:highlight w:val="none"/>
                <w:u w:val="single"/>
              </w:rPr>
              <w:t>《</w:t>
            </w:r>
            <w:r>
              <w:rPr>
                <w:rFonts w:hint="eastAsia" w:ascii="仿宋" w:hAnsi="仿宋" w:eastAsia="仿宋" w:cs="仿宋"/>
                <w:b/>
                <w:bCs/>
                <w:szCs w:val="21"/>
                <w:highlight w:val="none"/>
                <w:u w:val="single"/>
                <w:lang w:eastAsia="zh-CN"/>
              </w:rPr>
              <w:t>红枣</w:t>
            </w:r>
            <w:r>
              <w:rPr>
                <w:rFonts w:hint="default" w:ascii="仿宋" w:hAnsi="仿宋" w:eastAsia="仿宋" w:cs="仿宋"/>
                <w:b/>
                <w:bCs/>
                <w:szCs w:val="21"/>
                <w:highlight w:val="none"/>
                <w:u w:val="single"/>
              </w:rPr>
              <w:t>车（船）板接收通知单》</w:t>
            </w:r>
            <w:r>
              <w:rPr>
                <w:rFonts w:hint="eastAsia" w:ascii="仿宋" w:hAnsi="仿宋" w:eastAsia="仿宋" w:cs="仿宋"/>
                <w:b/>
                <w:bCs/>
                <w:szCs w:val="21"/>
                <w:highlight w:val="none"/>
                <w:u w:val="single"/>
                <w:lang w:eastAsia="zh-CN"/>
              </w:rPr>
              <w:t>开具之日起（含该日）生效，有效期至最近交割月的第</w:t>
            </w:r>
            <w:r>
              <w:rPr>
                <w:rFonts w:hint="default" w:ascii="Times New Roman" w:hAnsi="Times New Roman" w:eastAsia="仿宋" w:cs="Times New Roman"/>
                <w:b/>
                <w:bCs/>
                <w:szCs w:val="21"/>
                <w:highlight w:val="none"/>
                <w:u w:val="single"/>
                <w:lang w:val="en-US" w:eastAsia="zh-CN"/>
              </w:rPr>
              <w:t>11</w:t>
            </w:r>
            <w:r>
              <w:rPr>
                <w:rFonts w:hint="eastAsia" w:ascii="仿宋" w:hAnsi="仿宋" w:eastAsia="仿宋" w:cs="仿宋"/>
                <w:b/>
                <w:bCs/>
                <w:szCs w:val="21"/>
                <w:highlight w:val="none"/>
                <w:u w:val="single"/>
                <w:lang w:val="en-US" w:eastAsia="zh-CN"/>
              </w:rPr>
              <w:t>个交易日。</w:t>
            </w:r>
          </w:p>
          <w:p>
            <w:pPr>
              <w:ind w:firstLine="421" w:firstLineChars="200"/>
              <w:jc w:val="both"/>
              <w:rPr>
                <w:rFonts w:hint="eastAsia" w:ascii="仿宋" w:hAnsi="仿宋" w:eastAsia="仿宋" w:cs="仿宋"/>
                <w:b/>
                <w:bCs/>
                <w:szCs w:val="21"/>
                <w:u w:val="single"/>
              </w:rPr>
            </w:pPr>
            <w:r>
              <w:rPr>
                <w:rFonts w:hint="default" w:ascii="仿宋" w:hAnsi="仿宋" w:eastAsia="仿宋" w:cs="仿宋"/>
                <w:b/>
                <w:bCs/>
                <w:szCs w:val="21"/>
                <w:u w:val="single"/>
              </w:rPr>
              <w:t>交割服务机构应当在接到会员《</w:t>
            </w:r>
            <w:r>
              <w:rPr>
                <w:rFonts w:hint="eastAsia" w:ascii="仿宋" w:hAnsi="仿宋" w:eastAsia="仿宋" w:cs="仿宋"/>
                <w:b/>
                <w:bCs/>
                <w:szCs w:val="21"/>
                <w:u w:val="single"/>
                <w:lang w:eastAsia="zh-CN"/>
              </w:rPr>
              <w:t>红枣</w:t>
            </w:r>
            <w:r>
              <w:rPr>
                <w:rFonts w:hint="default" w:ascii="仿宋" w:hAnsi="仿宋" w:eastAsia="仿宋" w:cs="仿宋"/>
                <w:b/>
                <w:bCs/>
                <w:szCs w:val="21"/>
                <w:u w:val="single"/>
              </w:rPr>
              <w:t>车（船）板交割预报单》之日起（含该日）</w:t>
            </w:r>
            <w:r>
              <w:rPr>
                <w:rFonts w:hint="default" w:ascii="Times New Roman" w:hAnsi="Times New Roman" w:eastAsia="仿宋" w:cs="Times New Roman"/>
                <w:b/>
                <w:bCs/>
                <w:szCs w:val="21"/>
                <w:u w:val="single"/>
              </w:rPr>
              <w:t>2</w:t>
            </w:r>
            <w:r>
              <w:rPr>
                <w:rFonts w:hint="default" w:ascii="仿宋" w:hAnsi="仿宋" w:eastAsia="仿宋" w:cs="仿宋"/>
                <w:b/>
                <w:bCs/>
                <w:szCs w:val="21"/>
                <w:u w:val="single"/>
              </w:rPr>
              <w:t>个工作日内，通过会员服务系统回复会员能够接收的货物数量。会员应当在接到交割服务机构同意接收的回复之日起（含该日）</w:t>
            </w:r>
            <w:r>
              <w:rPr>
                <w:rFonts w:hint="default" w:ascii="Times New Roman" w:hAnsi="Times New Roman" w:eastAsia="仿宋" w:cs="Times New Roman"/>
                <w:b/>
                <w:bCs/>
                <w:szCs w:val="21"/>
                <w:u w:val="single"/>
              </w:rPr>
              <w:t>2</w:t>
            </w:r>
            <w:r>
              <w:rPr>
                <w:rFonts w:hint="default" w:ascii="仿宋" w:hAnsi="仿宋" w:eastAsia="仿宋" w:cs="仿宋"/>
                <w:b/>
                <w:bCs/>
                <w:szCs w:val="21"/>
                <w:u w:val="single"/>
              </w:rPr>
              <w:t>个工作日之内，</w:t>
            </w:r>
            <w:r>
              <w:rPr>
                <w:rFonts w:hint="eastAsia" w:ascii="仿宋" w:hAnsi="仿宋" w:eastAsia="仿宋" w:cs="仿宋"/>
                <w:b/>
                <w:bCs/>
                <w:szCs w:val="21"/>
                <w:u w:val="single"/>
                <w:lang w:eastAsia="zh-CN"/>
              </w:rPr>
              <w:t>代客户或由客户直接</w:t>
            </w:r>
            <w:r>
              <w:rPr>
                <w:rFonts w:hint="default" w:ascii="仿宋" w:hAnsi="仿宋" w:eastAsia="仿宋" w:cs="仿宋"/>
                <w:b/>
                <w:bCs/>
                <w:szCs w:val="21"/>
                <w:u w:val="single"/>
              </w:rPr>
              <w:t>向交割服务机构交纳交割预报定金。交割服务机构应当在收到交割预报定金之日起（含该日）的第</w:t>
            </w:r>
            <w:r>
              <w:rPr>
                <w:rFonts w:hint="default" w:ascii="Times New Roman" w:hAnsi="Times New Roman" w:eastAsia="仿宋" w:cs="Times New Roman"/>
                <w:b/>
                <w:bCs/>
                <w:szCs w:val="21"/>
                <w:u w:val="single"/>
              </w:rPr>
              <w:t>1</w:t>
            </w:r>
            <w:r>
              <w:rPr>
                <w:rFonts w:hint="default" w:ascii="仿宋" w:hAnsi="仿宋" w:eastAsia="仿宋" w:cs="仿宋"/>
                <w:b/>
                <w:bCs/>
                <w:szCs w:val="21"/>
                <w:u w:val="single"/>
              </w:rPr>
              <w:t>个工作日，向卖方会员开具《</w:t>
            </w:r>
            <w:r>
              <w:rPr>
                <w:rFonts w:hint="eastAsia" w:ascii="仿宋" w:hAnsi="仿宋" w:eastAsia="仿宋" w:cs="仿宋"/>
                <w:b/>
                <w:bCs/>
                <w:szCs w:val="21"/>
                <w:u w:val="single"/>
                <w:lang w:eastAsia="zh-CN"/>
              </w:rPr>
              <w:t>红枣</w:t>
            </w:r>
            <w:r>
              <w:rPr>
                <w:rFonts w:hint="default" w:ascii="仿宋" w:hAnsi="仿宋" w:eastAsia="仿宋" w:cs="仿宋"/>
                <w:b/>
                <w:bCs/>
                <w:szCs w:val="21"/>
                <w:u w:val="single"/>
              </w:rPr>
              <w:t>车（船）板接收通知单》，视为交割预报完成。</w:t>
            </w:r>
            <w:r>
              <w:rPr>
                <w:rFonts w:hint="eastAsia" w:ascii="仿宋" w:hAnsi="仿宋" w:eastAsia="仿宋" w:cs="仿宋"/>
                <w:b/>
                <w:bCs/>
                <w:szCs w:val="21"/>
                <w:u w:val="single"/>
              </w:rPr>
              <w:t>会员应当及时将交割预报结果通知客户。</w:t>
            </w:r>
          </w:p>
          <w:p>
            <w:pPr>
              <w:ind w:firstLine="421" w:firstLineChars="200"/>
              <w:jc w:val="both"/>
              <w:rPr>
                <w:rFonts w:hint="eastAsia" w:ascii="仿宋" w:hAnsi="仿宋" w:eastAsia="仿宋" w:cs="仿宋"/>
                <w:b/>
                <w:bCs/>
                <w:szCs w:val="21"/>
                <w:highlight w:val="none"/>
                <w:u w:val="single"/>
              </w:rPr>
            </w:pPr>
            <w:r>
              <w:rPr>
                <w:rFonts w:hint="eastAsia" w:ascii="仿宋" w:hAnsi="仿宋" w:eastAsia="仿宋" w:cs="仿宋"/>
                <w:b/>
                <w:bCs/>
                <w:szCs w:val="21"/>
                <w:highlight w:val="none"/>
                <w:u w:val="single"/>
                <w:lang w:eastAsia="zh-CN"/>
              </w:rPr>
              <w:t>红枣</w:t>
            </w:r>
            <w:r>
              <w:rPr>
                <w:rFonts w:hint="eastAsia" w:ascii="仿宋" w:hAnsi="仿宋" w:eastAsia="仿宋" w:cs="仿宋"/>
                <w:b/>
                <w:bCs/>
                <w:szCs w:val="21"/>
                <w:highlight w:val="none"/>
                <w:u w:val="single"/>
              </w:rPr>
              <w:t>期货</w:t>
            </w:r>
            <w:r>
              <w:rPr>
                <w:rFonts w:hint="eastAsia" w:ascii="仿宋" w:hAnsi="仿宋" w:eastAsia="仿宋" w:cs="仿宋"/>
                <w:b/>
                <w:bCs/>
                <w:szCs w:val="21"/>
                <w:highlight w:val="none"/>
                <w:u w:val="single"/>
                <w:lang w:eastAsia="zh-CN"/>
              </w:rPr>
              <w:t>卖方</w:t>
            </w:r>
            <w:r>
              <w:rPr>
                <w:rFonts w:hint="eastAsia" w:ascii="仿宋" w:hAnsi="仿宋" w:eastAsia="仿宋" w:cs="仿宋"/>
                <w:b/>
                <w:bCs/>
                <w:szCs w:val="21"/>
                <w:highlight w:val="none"/>
                <w:u w:val="single"/>
              </w:rPr>
              <w:t>应当按照车（船）板交割服务费的标准交纳交割预报定金。</w:t>
            </w:r>
          </w:p>
          <w:p>
            <w:pPr>
              <w:ind w:firstLine="421" w:firstLineChars="200"/>
              <w:jc w:val="both"/>
              <w:rPr>
                <w:rFonts w:hint="eastAsia" w:ascii="仿宋" w:hAnsi="仿宋" w:eastAsia="仿宋" w:cs="仿宋"/>
                <w:b/>
                <w:szCs w:val="21"/>
                <w:u w:val="single"/>
              </w:rPr>
            </w:pPr>
            <w:r>
              <w:rPr>
                <w:rFonts w:hint="eastAsia" w:ascii="仿宋" w:hAnsi="仿宋" w:eastAsia="仿宋" w:cs="仿宋"/>
                <w:b/>
                <w:bCs/>
                <w:szCs w:val="21"/>
                <w:highlight w:val="none"/>
                <w:u w:val="single"/>
                <w:lang w:eastAsia="zh-CN"/>
              </w:rPr>
              <w:t>申请车（船）板交割的货物已存放在交割服务机构的，卖方应当办理交割预报，无须交纳交割预报定金。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Borders>
              <w:top w:val="single" w:color="auto" w:sz="4" w:space="0"/>
              <w:left w:val="single" w:color="auto" w:sz="4" w:space="0"/>
              <w:bottom w:val="single" w:color="auto" w:sz="4" w:space="0"/>
              <w:right w:val="single" w:color="auto" w:sz="4" w:space="0"/>
            </w:tcBorders>
            <w:noWrap w:val="0"/>
            <w:vAlign w:val="top"/>
          </w:tcPr>
          <w:p>
            <w:pPr>
              <w:ind w:firstLine="421" w:firstLineChars="200"/>
              <w:jc w:val="left"/>
              <w:rPr>
                <w:rFonts w:hint="eastAsia" w:ascii="仿宋" w:hAnsi="仿宋" w:eastAsia="仿宋" w:cs="仿宋"/>
                <w:szCs w:val="21"/>
                <w:lang w:val="en-US" w:eastAsia="zh-CN"/>
              </w:rPr>
            </w:pPr>
            <w:r>
              <w:rPr>
                <w:rFonts w:hint="eastAsia" w:ascii="仿宋" w:hAnsi="仿宋" w:eastAsia="仿宋" w:cs="仿宋"/>
                <w:b/>
                <w:bCs/>
                <w:szCs w:val="21"/>
                <w:lang w:eastAsia="zh-CN"/>
              </w:rPr>
              <w:t>第五十三条</w:t>
            </w:r>
            <w:r>
              <w:rPr>
                <w:rFonts w:hint="eastAsia" w:ascii="仿宋" w:hAnsi="仿宋" w:eastAsia="仿宋" w:cs="仿宋"/>
                <w:szCs w:val="21"/>
                <w:lang w:val="en-US" w:eastAsia="zh-CN"/>
              </w:rPr>
              <w:t xml:space="preserve">  红枣在交割服务机构进行交割。买卖双方达成协议的，可以按照协议里约定的地点进行交割；未达成协议的，买方可以在《车（船）板交货事项确认单》中选择交割服务机构进行交割，卖方应当按买方的要求交付货物。</w:t>
            </w:r>
          </w:p>
          <w:p>
            <w:pPr>
              <w:ind w:firstLine="420" w:firstLineChars="200"/>
              <w:jc w:val="left"/>
              <w:rPr>
                <w:rFonts w:ascii="仿宋" w:hAnsi="仿宋" w:eastAsia="仿宋" w:cs="仿宋"/>
                <w:szCs w:val="21"/>
              </w:rPr>
            </w:pPr>
            <w:r>
              <w:rPr>
                <w:rFonts w:hint="eastAsia" w:ascii="仿宋" w:hAnsi="仿宋" w:eastAsia="仿宋" w:cs="仿宋"/>
                <w:szCs w:val="21"/>
                <w:lang w:val="en-US" w:eastAsia="zh-CN"/>
              </w:rPr>
              <w:t>红枣期货合约的买卖双方应当在第三交割日后（不含该日）第</w:t>
            </w:r>
            <w:r>
              <w:rPr>
                <w:rFonts w:hint="default" w:ascii="Times New Roman" w:hAnsi="Times New Roman" w:eastAsia="仿宋" w:cs="Times New Roman"/>
                <w:szCs w:val="21"/>
                <w:lang w:val="en-US" w:eastAsia="zh-CN"/>
              </w:rPr>
              <w:t>4</w:t>
            </w:r>
            <w:r>
              <w:rPr>
                <w:rFonts w:hint="eastAsia" w:ascii="仿宋" w:hAnsi="仿宋" w:eastAsia="仿宋" w:cs="仿宋"/>
                <w:szCs w:val="21"/>
                <w:lang w:val="en-US" w:eastAsia="zh-CN"/>
              </w:rPr>
              <w:t>个日历日进行货物交收。卖方未在货物交收日下午</w:t>
            </w:r>
            <w:r>
              <w:rPr>
                <w:rFonts w:hint="default" w:ascii="Times New Roman" w:hAnsi="Times New Roman" w:eastAsia="仿宋" w:cs="Times New Roman"/>
                <w:szCs w:val="21"/>
                <w:lang w:val="en-US" w:eastAsia="zh-CN"/>
              </w:rPr>
              <w:t>1</w:t>
            </w:r>
            <w:r>
              <w:rPr>
                <w:rFonts w:hint="eastAsia" w:ascii="仿宋" w:hAnsi="仿宋" w:eastAsia="仿宋" w:cs="仿宋"/>
                <w:szCs w:val="21"/>
                <w:lang w:val="en-US" w:eastAsia="zh-CN"/>
              </w:rPr>
              <w:t>时</w:t>
            </w:r>
            <w:r>
              <w:rPr>
                <w:rFonts w:hint="default" w:ascii="Times New Roman" w:hAnsi="Times New Roman" w:eastAsia="仿宋" w:cs="Times New Roman"/>
                <w:szCs w:val="21"/>
                <w:lang w:val="en-US" w:eastAsia="zh-CN"/>
              </w:rPr>
              <w:t>30</w:t>
            </w:r>
            <w:r>
              <w:rPr>
                <w:rFonts w:hint="eastAsia" w:ascii="仿宋" w:hAnsi="仿宋" w:eastAsia="仿宋" w:cs="仿宋"/>
                <w:szCs w:val="21"/>
                <w:lang w:val="en-US" w:eastAsia="zh-CN"/>
              </w:rPr>
              <w:t>分前将货物运达交割服务机构或买方未按时到场监收的，视为未按规定时间交收货物，新的交收时间由交割服务机构根据自身服务能力重新确定并通知买卖双方。当日交收量超过交割服务机构服务能力的，交割服务机构可以延后交收时间，并通知买卖双方。</w:t>
            </w:r>
          </w:p>
        </w:tc>
        <w:tc>
          <w:tcPr>
            <w:tcW w:w="4233" w:type="dxa"/>
            <w:tcBorders>
              <w:top w:val="single" w:color="auto" w:sz="4" w:space="0"/>
              <w:left w:val="single" w:color="auto" w:sz="4" w:space="0"/>
              <w:bottom w:val="single" w:color="auto" w:sz="4" w:space="0"/>
              <w:right w:val="single" w:color="auto" w:sz="4" w:space="0"/>
            </w:tcBorders>
            <w:noWrap w:val="0"/>
            <w:vAlign w:val="top"/>
          </w:tcPr>
          <w:p>
            <w:pPr>
              <w:ind w:firstLine="421" w:firstLineChars="200"/>
              <w:jc w:val="both"/>
              <w:rPr>
                <w:rFonts w:hint="eastAsia" w:ascii="仿宋" w:hAnsi="仿宋" w:eastAsia="仿宋" w:cs="仿宋"/>
                <w:b w:val="0"/>
                <w:bCs w:val="0"/>
                <w:szCs w:val="21"/>
                <w:lang w:eastAsia="zh-CN"/>
              </w:rPr>
            </w:pPr>
            <w:r>
              <w:rPr>
                <w:rFonts w:hint="eastAsia" w:ascii="仿宋" w:hAnsi="仿宋" w:eastAsia="仿宋" w:cs="仿宋"/>
                <w:b/>
                <w:bCs/>
                <w:szCs w:val="21"/>
                <w:lang w:eastAsia="zh-CN"/>
              </w:rPr>
              <w:t>第五十</w:t>
            </w:r>
            <w:r>
              <w:rPr>
                <w:rFonts w:hint="eastAsia" w:ascii="仿宋" w:hAnsi="仿宋" w:eastAsia="仿宋" w:cs="仿宋"/>
                <w:b/>
                <w:bCs/>
                <w:strike/>
                <w:szCs w:val="21"/>
                <w:lang w:eastAsia="zh-CN"/>
              </w:rPr>
              <w:t>三</w:t>
            </w:r>
            <w:r>
              <w:rPr>
                <w:rFonts w:hint="eastAsia" w:ascii="仿宋" w:hAnsi="仿宋" w:eastAsia="仿宋" w:cs="仿宋"/>
                <w:b/>
                <w:bCs/>
                <w:strike w:val="0"/>
                <w:szCs w:val="21"/>
                <w:lang w:eastAsia="zh-CN"/>
              </w:rPr>
              <w:t>四</w:t>
            </w:r>
            <w:r>
              <w:rPr>
                <w:rFonts w:hint="eastAsia" w:ascii="仿宋" w:hAnsi="仿宋" w:eastAsia="仿宋" w:cs="仿宋"/>
                <w:b/>
                <w:bCs/>
                <w:szCs w:val="21"/>
                <w:lang w:eastAsia="zh-CN"/>
              </w:rPr>
              <w:t>条</w:t>
            </w:r>
            <w:r>
              <w:rPr>
                <w:rFonts w:hint="eastAsia" w:ascii="仿宋" w:hAnsi="仿宋" w:eastAsia="仿宋" w:cs="仿宋"/>
                <w:b/>
                <w:bCs/>
                <w:szCs w:val="21"/>
                <w:lang w:val="en-US" w:eastAsia="zh-CN"/>
              </w:rPr>
              <w:t xml:space="preserve">  </w:t>
            </w:r>
            <w:r>
              <w:rPr>
                <w:rFonts w:hint="eastAsia" w:ascii="仿宋" w:hAnsi="仿宋" w:eastAsia="仿宋" w:cs="仿宋"/>
                <w:b w:val="0"/>
                <w:bCs w:val="0"/>
                <w:szCs w:val="21"/>
                <w:lang w:eastAsia="zh-CN"/>
              </w:rPr>
              <w:t>红枣在交割服务机构进行交割。买卖双方达成协议的，可以按照协议里约定的地点进行交割；未达成协议的，买方可以在《车（船）板交货事项确认单》中选择交割服务机构进行交割，卖方应当按买方的要求交付货物。</w:t>
            </w:r>
          </w:p>
          <w:p>
            <w:pPr>
              <w:ind w:firstLine="420" w:firstLineChars="200"/>
              <w:jc w:val="both"/>
              <w:rPr>
                <w:rFonts w:ascii="仿宋" w:hAnsi="仿宋" w:eastAsia="仿宋" w:cs="仿宋"/>
                <w:b/>
                <w:bCs/>
                <w:szCs w:val="21"/>
              </w:rPr>
            </w:pPr>
            <w:r>
              <w:rPr>
                <w:rFonts w:hint="eastAsia" w:ascii="仿宋" w:hAnsi="仿宋" w:eastAsia="仿宋" w:cs="仿宋"/>
                <w:b w:val="0"/>
                <w:bCs w:val="0"/>
                <w:szCs w:val="21"/>
                <w:lang w:eastAsia="zh-CN"/>
              </w:rPr>
              <w:t>红枣期货合约的买卖双方应当在第三交割日后（不含该日）第</w:t>
            </w:r>
            <w:r>
              <w:rPr>
                <w:rFonts w:hint="default" w:ascii="Times New Roman" w:hAnsi="Times New Roman" w:eastAsia="仿宋" w:cs="Times New Roman"/>
                <w:b w:val="0"/>
                <w:bCs w:val="0"/>
                <w:strike/>
                <w:szCs w:val="21"/>
                <w:lang w:val="en-US" w:eastAsia="zh-CN"/>
              </w:rPr>
              <w:t>4</w:t>
            </w:r>
            <w:r>
              <w:rPr>
                <w:rFonts w:hint="default" w:ascii="Times New Roman" w:hAnsi="Times New Roman" w:eastAsia="仿宋" w:cs="Times New Roman"/>
                <w:b/>
                <w:bCs/>
                <w:szCs w:val="21"/>
                <w:u w:val="single"/>
                <w:lang w:val="en-US" w:eastAsia="zh-CN"/>
              </w:rPr>
              <w:t>1</w:t>
            </w:r>
            <w:r>
              <w:rPr>
                <w:rFonts w:hint="eastAsia" w:ascii="仿宋" w:hAnsi="仿宋" w:eastAsia="仿宋" w:cs="仿宋"/>
                <w:b w:val="0"/>
                <w:bCs w:val="0"/>
                <w:szCs w:val="21"/>
                <w:lang w:eastAsia="zh-CN"/>
              </w:rPr>
              <w:t>个日历日进行货物交收。卖方未在货物交收日下午</w:t>
            </w:r>
            <w:r>
              <w:rPr>
                <w:rFonts w:hint="default" w:ascii="Times New Roman" w:hAnsi="Times New Roman" w:eastAsia="仿宋" w:cs="Times New Roman"/>
                <w:b w:val="0"/>
                <w:bCs w:val="0"/>
                <w:szCs w:val="21"/>
                <w:lang w:eastAsia="zh-CN"/>
              </w:rPr>
              <w:t>1</w:t>
            </w:r>
            <w:r>
              <w:rPr>
                <w:rFonts w:hint="eastAsia" w:ascii="仿宋" w:hAnsi="仿宋" w:eastAsia="仿宋" w:cs="仿宋"/>
                <w:b w:val="0"/>
                <w:bCs w:val="0"/>
                <w:szCs w:val="21"/>
                <w:lang w:eastAsia="zh-CN"/>
              </w:rPr>
              <w:t>时</w:t>
            </w:r>
            <w:r>
              <w:rPr>
                <w:rFonts w:hint="default" w:ascii="Times New Roman" w:hAnsi="Times New Roman" w:eastAsia="仿宋" w:cs="Times New Roman"/>
                <w:b w:val="0"/>
                <w:bCs w:val="0"/>
                <w:szCs w:val="21"/>
                <w:lang w:eastAsia="zh-CN"/>
              </w:rPr>
              <w:t>30</w:t>
            </w:r>
            <w:r>
              <w:rPr>
                <w:rFonts w:hint="eastAsia" w:ascii="仿宋" w:hAnsi="仿宋" w:eastAsia="仿宋" w:cs="仿宋"/>
                <w:b w:val="0"/>
                <w:bCs w:val="0"/>
                <w:szCs w:val="21"/>
                <w:lang w:eastAsia="zh-CN"/>
              </w:rPr>
              <w:t>分前将货物运达交割服务机构或买方未按时到场监收的，视为未按规定时间交收货物，新的交收时间由交割服务机构根据自身服务能力重新确定并通知买卖双方。当日交收量超过交割服务机构服务能力的，交割服务机构可以延后交收时间，并通知买卖双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Borders>
              <w:top w:val="single" w:color="auto" w:sz="4" w:space="0"/>
              <w:left w:val="single" w:color="auto" w:sz="4" w:space="0"/>
              <w:bottom w:val="single" w:color="auto" w:sz="4" w:space="0"/>
              <w:right w:val="single" w:color="auto" w:sz="4" w:space="0"/>
            </w:tcBorders>
            <w:noWrap w:val="0"/>
            <w:vAlign w:val="top"/>
          </w:tcPr>
          <w:p>
            <w:pPr>
              <w:ind w:firstLine="0" w:firstLineChars="0"/>
              <w:rPr>
                <w:rFonts w:ascii="仿宋" w:hAnsi="仿宋" w:eastAsia="仿宋" w:cs="仿宋"/>
                <w:szCs w:val="21"/>
              </w:rPr>
            </w:pPr>
            <w:r>
              <w:rPr>
                <w:rFonts w:hint="eastAsia" w:ascii="仿宋" w:hAnsi="仿宋" w:eastAsia="仿宋" w:cs="仿宋"/>
                <w:b/>
                <w:szCs w:val="21"/>
              </w:rPr>
              <w:t>第五十</w:t>
            </w:r>
            <w:r>
              <w:rPr>
                <w:rFonts w:hint="eastAsia" w:ascii="仿宋" w:hAnsi="仿宋" w:eastAsia="仿宋" w:cs="仿宋"/>
                <w:b/>
                <w:szCs w:val="21"/>
                <w:lang w:eastAsia="zh-CN"/>
              </w:rPr>
              <w:t>四</w:t>
            </w:r>
            <w:r>
              <w:rPr>
                <w:rFonts w:hint="eastAsia" w:ascii="仿宋" w:hAnsi="仿宋" w:eastAsia="仿宋" w:cs="仿宋"/>
                <w:b/>
                <w:szCs w:val="21"/>
              </w:rPr>
              <w:t xml:space="preserve">条 </w:t>
            </w:r>
            <w:r>
              <w:rPr>
                <w:rFonts w:hint="eastAsia" w:ascii="仿宋" w:hAnsi="仿宋" w:eastAsia="仿宋" w:cs="仿宋"/>
                <w:b w:val="0"/>
                <w:bCs/>
                <w:szCs w:val="21"/>
                <w:lang w:eastAsia="zh-CN"/>
              </w:rPr>
              <w:t>红枣</w:t>
            </w:r>
            <w:r>
              <w:rPr>
                <w:rFonts w:hint="eastAsia" w:ascii="仿宋" w:hAnsi="仿宋" w:eastAsia="仿宋" w:cs="仿宋"/>
                <w:szCs w:val="21"/>
              </w:rPr>
              <w:t>买方应当在卖方货物到达交割服务机构后</w:t>
            </w:r>
            <w:r>
              <w:rPr>
                <w:rFonts w:hint="default" w:ascii="Times New Roman" w:hAnsi="Times New Roman" w:eastAsia="仿宋" w:cs="Times New Roman"/>
                <w:szCs w:val="21"/>
              </w:rPr>
              <w:t>24</w:t>
            </w:r>
            <w:r>
              <w:rPr>
                <w:rFonts w:hint="eastAsia" w:ascii="仿宋" w:hAnsi="仿宋" w:eastAsia="仿宋" w:cs="仿宋"/>
                <w:szCs w:val="21"/>
              </w:rPr>
              <w:t>小时内完成货物质量检验，并在质量验收确认后</w:t>
            </w:r>
            <w:r>
              <w:rPr>
                <w:rFonts w:hint="default" w:ascii="Times New Roman" w:hAnsi="Times New Roman" w:eastAsia="仿宋" w:cs="Times New Roman"/>
                <w:szCs w:val="21"/>
              </w:rPr>
              <w:t>24</w:t>
            </w:r>
            <w:r>
              <w:rPr>
                <w:rFonts w:hint="eastAsia" w:ascii="仿宋" w:hAnsi="仿宋" w:eastAsia="仿宋" w:cs="仿宋"/>
                <w:szCs w:val="21"/>
              </w:rPr>
              <w:t>小时内装车发运。买方在规定的时间内因自身原因不能装车发运的，卖方不再承担该批货物的质量责任。</w:t>
            </w:r>
          </w:p>
          <w:p>
            <w:pPr>
              <w:keepNext w:val="0"/>
              <w:keepLines w:val="0"/>
              <w:widowControl/>
              <w:suppressLineNumbers w:val="0"/>
              <w:overflowPunct w:val="0"/>
              <w:topLinePunct/>
              <w:spacing w:before="0" w:beforeLines="0" w:beforeAutospacing="0" w:after="0" w:afterAutospacing="0"/>
              <w:ind w:left="0" w:right="0" w:firstLine="420" w:firstLineChars="200"/>
              <w:jc w:val="left"/>
              <w:rPr>
                <w:rFonts w:hint="default" w:ascii="Times New Roman" w:hAnsi="Times New Roman" w:eastAsia="仿宋" w:cs="Times New Roman"/>
                <w:b w:val="0"/>
                <w:bCs/>
                <w:sz w:val="21"/>
                <w:szCs w:val="21"/>
                <w:highlight w:val="none"/>
              </w:rPr>
            </w:pPr>
            <w:r>
              <w:rPr>
                <w:rFonts w:hint="default" w:ascii="Times New Roman" w:hAnsi="Times New Roman" w:eastAsia="仿宋" w:cs="Times New Roman"/>
                <w:bCs/>
                <w:sz w:val="21"/>
                <w:szCs w:val="21"/>
                <w:highlight w:val="none"/>
              </w:rPr>
              <w:t>……</w:t>
            </w:r>
          </w:p>
          <w:p>
            <w:pPr>
              <w:ind w:firstLine="420" w:firstLineChars="200"/>
              <w:rPr>
                <w:rFonts w:ascii="仿宋" w:hAnsi="仿宋" w:eastAsia="仿宋" w:cs="仿宋"/>
                <w:szCs w:val="21"/>
              </w:rPr>
            </w:pPr>
          </w:p>
        </w:tc>
        <w:tc>
          <w:tcPr>
            <w:tcW w:w="4233" w:type="dxa"/>
            <w:tcBorders>
              <w:top w:val="single" w:color="auto" w:sz="4" w:space="0"/>
              <w:left w:val="single" w:color="auto" w:sz="4" w:space="0"/>
              <w:bottom w:val="single" w:color="auto" w:sz="4" w:space="0"/>
              <w:right w:val="single" w:color="auto" w:sz="4" w:space="0"/>
            </w:tcBorders>
            <w:noWrap w:val="0"/>
            <w:vAlign w:val="top"/>
          </w:tcPr>
          <w:p>
            <w:pPr>
              <w:ind w:firstLine="421" w:firstLineChars="200"/>
            </w:pPr>
            <w:r>
              <w:rPr>
                <w:rFonts w:hint="eastAsia" w:ascii="仿宋" w:hAnsi="仿宋" w:eastAsia="仿宋" w:cs="仿宋"/>
                <w:b/>
                <w:szCs w:val="21"/>
              </w:rPr>
              <w:t>第五十</w:t>
            </w:r>
            <w:r>
              <w:rPr>
                <w:rFonts w:hint="eastAsia" w:ascii="仿宋" w:hAnsi="仿宋" w:eastAsia="仿宋" w:cs="仿宋"/>
                <w:b/>
                <w:strike/>
                <w:szCs w:val="21"/>
                <w:lang w:eastAsia="zh-CN"/>
              </w:rPr>
              <w:t>四</w:t>
            </w:r>
            <w:r>
              <w:rPr>
                <w:rFonts w:hint="eastAsia" w:ascii="仿宋" w:hAnsi="仿宋" w:eastAsia="仿宋" w:cs="仿宋"/>
                <w:b/>
                <w:strike w:val="0"/>
                <w:szCs w:val="21"/>
                <w:lang w:eastAsia="zh-CN"/>
              </w:rPr>
              <w:t>五</w:t>
            </w:r>
            <w:r>
              <w:rPr>
                <w:rFonts w:hint="eastAsia" w:ascii="仿宋" w:hAnsi="仿宋" w:eastAsia="仿宋" w:cs="仿宋"/>
                <w:b/>
                <w:szCs w:val="21"/>
              </w:rPr>
              <w:t xml:space="preserve">条 </w:t>
            </w:r>
            <w:r>
              <w:rPr>
                <w:rFonts w:hint="eastAsia" w:ascii="仿宋" w:hAnsi="仿宋" w:eastAsia="仿宋" w:cs="仿宋"/>
                <w:b/>
                <w:szCs w:val="21"/>
                <w:u w:val="single"/>
              </w:rPr>
              <w:t>自货物到达接受交割预报的交割服务机构之日起</w:t>
            </w:r>
            <w:r>
              <w:rPr>
                <w:rFonts w:hint="default" w:ascii="Times New Roman" w:hAnsi="Times New Roman" w:eastAsia="仿宋" w:cs="Times New Roman"/>
                <w:b/>
                <w:szCs w:val="21"/>
                <w:u w:val="single"/>
              </w:rPr>
              <w:t>2</w:t>
            </w:r>
            <w:r>
              <w:rPr>
                <w:rFonts w:hint="eastAsia" w:ascii="仿宋" w:hAnsi="仿宋" w:eastAsia="仿宋" w:cs="仿宋"/>
                <w:b/>
                <w:szCs w:val="21"/>
                <w:u w:val="single"/>
              </w:rPr>
              <w:t>个工作日内，交割预报定金予以返还；部分到达的，按实际到达量返还；未到达的，不予返还。</w:t>
            </w:r>
          </w:p>
          <w:p>
            <w:pPr>
              <w:ind w:firstLine="420" w:firstLineChars="200"/>
            </w:pPr>
            <w:r>
              <w:rPr>
                <w:rFonts w:hint="eastAsia" w:ascii="仿宋" w:hAnsi="仿宋" w:eastAsia="仿宋" w:cs="仿宋"/>
                <w:szCs w:val="21"/>
                <w:lang w:eastAsia="zh-CN"/>
              </w:rPr>
              <w:t>红枣</w:t>
            </w:r>
            <w:r>
              <w:rPr>
                <w:rFonts w:hint="eastAsia" w:ascii="仿宋" w:hAnsi="仿宋" w:eastAsia="仿宋" w:cs="仿宋"/>
                <w:szCs w:val="21"/>
              </w:rPr>
              <w:t>买方应当在卖方货物到达交割服务机构后</w:t>
            </w:r>
            <w:r>
              <w:rPr>
                <w:rFonts w:hint="default" w:ascii="Times New Roman" w:hAnsi="Times New Roman" w:eastAsia="仿宋" w:cs="Times New Roman"/>
                <w:szCs w:val="21"/>
              </w:rPr>
              <w:t>24</w:t>
            </w:r>
            <w:r>
              <w:rPr>
                <w:rFonts w:hint="eastAsia" w:ascii="仿宋" w:hAnsi="仿宋" w:eastAsia="仿宋" w:cs="仿宋"/>
                <w:szCs w:val="21"/>
              </w:rPr>
              <w:t>小时内完成货物质量检验，并在质量验收确认后</w:t>
            </w:r>
            <w:r>
              <w:rPr>
                <w:rFonts w:hint="default" w:ascii="Times New Roman" w:hAnsi="Times New Roman" w:eastAsia="仿宋" w:cs="Times New Roman"/>
                <w:szCs w:val="21"/>
              </w:rPr>
              <w:t>24</w:t>
            </w:r>
            <w:r>
              <w:rPr>
                <w:rFonts w:hint="eastAsia" w:ascii="仿宋" w:hAnsi="仿宋" w:eastAsia="仿宋" w:cs="仿宋"/>
                <w:szCs w:val="21"/>
              </w:rPr>
              <w:t>小时内装车发运。买方在规定的时间内因自身原因不能装车发运的，卖方不再承担该批货物的质量责任。</w:t>
            </w:r>
          </w:p>
          <w:p>
            <w:pPr>
              <w:keepNext w:val="0"/>
              <w:keepLines w:val="0"/>
              <w:widowControl/>
              <w:suppressLineNumbers w:val="0"/>
              <w:overflowPunct w:val="0"/>
              <w:topLinePunct/>
              <w:spacing w:before="0" w:beforeLines="0" w:beforeAutospacing="0" w:after="0" w:afterAutospacing="0"/>
              <w:ind w:left="0" w:right="0" w:firstLine="420" w:firstLineChars="200"/>
              <w:jc w:val="left"/>
              <w:rPr>
                <w:rFonts w:ascii="仿宋" w:hAnsi="仿宋" w:eastAsia="仿宋" w:cs="仿宋"/>
                <w:b/>
                <w:bCs/>
                <w:szCs w:val="21"/>
              </w:rPr>
            </w:pPr>
            <w:r>
              <w:rPr>
                <w:rFonts w:hint="default" w:ascii="Times New Roman" w:hAnsi="Times New Roman" w:eastAsia="仿宋" w:cs="Times New Roman"/>
                <w:bCs/>
                <w:sz w:val="21"/>
                <w:szCs w:val="21"/>
                <w:highlight w:val="none"/>
              </w:rPr>
              <w:t>……</w:t>
            </w:r>
          </w:p>
        </w:tc>
      </w:tr>
    </w:tbl>
    <w:p/>
    <w:p>
      <w:pPr>
        <w:rPr>
          <w:rFonts w:ascii="仿宋" w:hAnsi="仿宋" w:eastAsia="仿宋"/>
          <w:sz w:val="32"/>
        </w:rPr>
      </w:pPr>
    </w:p>
    <w:p>
      <w:pPr>
        <w:tabs>
          <w:tab w:val="left" w:pos="1620"/>
        </w:tabs>
        <w:autoSpaceDE w:val="0"/>
        <w:autoSpaceDN w:val="0"/>
        <w:jc w:val="center"/>
        <w:outlineLvl w:val="1"/>
        <w:rPr>
          <w:rFonts w:hint="eastAsia" w:ascii="方正小标宋简体" w:hAnsi="宋体" w:eastAsia="方正小标宋简体"/>
          <w:bCs/>
          <w:sz w:val="44"/>
          <w:szCs w:val="44"/>
          <w:lang w:val="en-US" w:eastAsia="zh-CN"/>
        </w:rPr>
      </w:pPr>
      <w:bookmarkStart w:id="5" w:name="_GoBack"/>
      <w:bookmarkEnd w:id="5"/>
      <w:bookmarkStart w:id="0" w:name="_Toc5114"/>
      <w:bookmarkStart w:id="1" w:name="_Toc1217976824"/>
      <w:bookmarkStart w:id="2" w:name="_Toc108604280"/>
      <w:bookmarkStart w:id="3" w:name="_Toc104388783"/>
      <w:bookmarkStart w:id="4" w:name="_Toc18781"/>
    </w:p>
    <w:bookmarkEnd w:id="0"/>
    <w:bookmarkEnd w:id="1"/>
    <w:bookmarkEnd w:id="2"/>
    <w:bookmarkEnd w:id="3"/>
    <w:bookmarkEnd w:id="4"/>
    <w:p>
      <w:pPr>
        <w:rPr>
          <w:rFonts w:ascii="仿宋" w:hAnsi="仿宋" w:eastAsia="仿宋"/>
          <w:sz w:val="32"/>
        </w:rPr>
      </w:pPr>
    </w:p>
    <w:sectPr>
      <w:headerReference r:id="rId4" w:type="first"/>
      <w:footerReference r:id="rId7" w:type="first"/>
      <w:footerReference r:id="rId5" w:type="default"/>
      <w:headerReference r:id="rId3" w:type="even"/>
      <w:footerReference r:id="rId6" w:type="even"/>
      <w:pgSz w:w="11906" w:h="16838"/>
      <w:pgMar w:top="1440" w:right="1797" w:bottom="1440" w:left="179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sz w:val="28"/>
      </w:rPr>
    </w:pPr>
    <w:r>
      <w:rPr>
        <w:sz w:val="28"/>
      </w:rP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wordWrap w:val="0"/>
                  <w:jc w:val="right"/>
                </w:pPr>
                <w:r>
                  <w:rPr>
                    <w:rFonts w:hint="eastAsia"/>
                    <w:sz w:val="28"/>
                  </w:rPr>
                  <w:t>—</w:t>
                </w:r>
                <w:r>
                  <w:rPr>
                    <w:rStyle w:val="8"/>
                    <w:sz w:val="28"/>
                  </w:rPr>
                  <w:fldChar w:fldCharType="begin"/>
                </w:r>
                <w:r>
                  <w:rPr>
                    <w:rStyle w:val="8"/>
                    <w:sz w:val="28"/>
                  </w:rPr>
                  <w:instrText xml:space="preserve"> PAGE </w:instrText>
                </w:r>
                <w:r>
                  <w:rPr>
                    <w:rStyle w:val="8"/>
                    <w:sz w:val="28"/>
                  </w:rPr>
                  <w:fldChar w:fldCharType="separate"/>
                </w:r>
                <w:r>
                  <w:rPr>
                    <w:rStyle w:val="8"/>
                    <w:sz w:val="28"/>
                  </w:rPr>
                  <w:t>1</w:t>
                </w:r>
                <w:r>
                  <w:rPr>
                    <w:rStyle w:val="8"/>
                    <w:sz w:val="28"/>
                  </w:rPr>
                  <w:fldChar w:fldCharType="end"/>
                </w:r>
                <w:r>
                  <w:rPr>
                    <w:rFonts w:hint="eastAsia"/>
                    <w:sz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rPr>
    </w:pPr>
    <w:r>
      <w:rPr>
        <w:rFonts w:hint="eastAsia"/>
        <w:sz w:val="28"/>
      </w:rPr>
      <w:t>—</w:t>
    </w:r>
    <w:r>
      <w:rPr>
        <w:rStyle w:val="8"/>
        <w:sz w:val="28"/>
      </w:rPr>
      <w:fldChar w:fldCharType="begin"/>
    </w:r>
    <w:r>
      <w:rPr>
        <w:rStyle w:val="8"/>
        <w:sz w:val="28"/>
      </w:rPr>
      <w:instrText xml:space="preserve"> PAGE </w:instrText>
    </w:r>
    <w:r>
      <w:rPr>
        <w:rStyle w:val="8"/>
        <w:sz w:val="28"/>
      </w:rPr>
      <w:fldChar w:fldCharType="separate"/>
    </w:r>
    <w:r>
      <w:rPr>
        <w:rStyle w:val="8"/>
        <w:sz w:val="28"/>
      </w:rPr>
      <w:t>4</w:t>
    </w:r>
    <w:r>
      <w:rPr>
        <w:rStyle w:val="8"/>
        <w:sz w:val="28"/>
      </w:rPr>
      <w:fldChar w:fldCharType="end"/>
    </w:r>
    <w:r>
      <w:rPr>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327B8906"/>
    <w:rsid w:val="3FEEB57B"/>
    <w:rsid w:val="3FFD24FA"/>
    <w:rsid w:val="57FF8A9D"/>
    <w:rsid w:val="5FFF15AB"/>
    <w:rsid w:val="67F150AB"/>
    <w:rsid w:val="6EFB5B9D"/>
    <w:rsid w:val="6FA3FF82"/>
    <w:rsid w:val="727BBC6D"/>
    <w:rsid w:val="779DA627"/>
    <w:rsid w:val="78031D0F"/>
    <w:rsid w:val="7F9FC4A0"/>
    <w:rsid w:val="932D8687"/>
    <w:rsid w:val="93DF157F"/>
    <w:rsid w:val="B5FC6961"/>
    <w:rsid w:val="B77F5210"/>
    <w:rsid w:val="B7F5CF32"/>
    <w:rsid w:val="B9D780B3"/>
    <w:rsid w:val="BEBE4B70"/>
    <w:rsid w:val="DE38B88C"/>
    <w:rsid w:val="EBC6CC94"/>
    <w:rsid w:val="EBE3CCDC"/>
    <w:rsid w:val="EDCBE495"/>
    <w:rsid w:val="F1B5E33D"/>
    <w:rsid w:val="F208DE3A"/>
    <w:rsid w:val="F5F7B29C"/>
    <w:rsid w:val="F7FEDA0C"/>
    <w:rsid w:val="F93F8E01"/>
    <w:rsid w:val="FCDFD413"/>
    <w:rsid w:val="FE968151"/>
    <w:rsid w:val="FEDF03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0"/>
    <w:rPr>
      <w:rFonts w:ascii="仿宋_GB2312" w:eastAsia="仿宋_GB2312"/>
      <w:sz w:val="32"/>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customStyle="1" w:styleId="9">
    <w:name w:val="页脚 Char"/>
    <w:basedOn w:val="7"/>
    <w:link w:val="3"/>
    <w:qFormat/>
    <w:uiPriority w:val="0"/>
    <w:rPr>
      <w:rFonts w:ascii="Times New Roman" w:hAnsi="Times New Roman" w:eastAsia="宋体" w:cs="Times New Roman"/>
      <w:sz w:val="18"/>
      <w:szCs w:val="18"/>
    </w:rPr>
  </w:style>
  <w:style w:type="character" w:customStyle="1" w:styleId="10">
    <w:name w:val="日期 Char"/>
    <w:basedOn w:val="7"/>
    <w:link w:val="2"/>
    <w:qFormat/>
    <w:uiPriority w:val="0"/>
    <w:rPr>
      <w:rFonts w:ascii="仿宋_GB2312" w:hAnsi="Times New Roman" w:eastAsia="仿宋_GB2312" w:cs="Times New Roman"/>
      <w:sz w:val="32"/>
      <w:szCs w:val="24"/>
    </w:rPr>
  </w:style>
  <w:style w:type="character" w:customStyle="1" w:styleId="11">
    <w:name w:val="页眉 Char"/>
    <w:basedOn w:val="7"/>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43</Words>
  <Characters>246</Characters>
  <Lines>2</Lines>
  <Paragraphs>1</Paragraphs>
  <TotalTime>6</TotalTime>
  <ScaleCrop>false</ScaleCrop>
  <LinksUpToDate>false</LinksUpToDate>
  <CharactersWithSpaces>288</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2019-09-19T06:10:00Z</dcterms:created>
  <dc:creator>CN=李小鹏/OU=办公室/O=CZCE</dc:creator>
  <cp:lastModifiedBy>张雅杰</cp:lastModifiedBy>
  <dcterms:modified xsi:type="dcterms:W3CDTF">2025-08-22T15:43:23Z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AF2EAEA7850DFE93F76DA56835DADF20</vt:lpwstr>
  </property>
</Properties>
</file>