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336" w:rsidRPr="003B0336" w:rsidRDefault="003B0336" w:rsidP="003B0336">
      <w:pPr>
        <w:pStyle w:val="a3"/>
        <w:jc w:val="center"/>
        <w:rPr>
          <w:b/>
          <w:bCs/>
          <w:kern w:val="44"/>
          <w:sz w:val="32"/>
          <w:szCs w:val="32"/>
        </w:rPr>
      </w:pPr>
      <w:r w:rsidRPr="003B0336">
        <w:rPr>
          <w:rFonts w:hint="eastAsia"/>
          <w:b/>
          <w:bCs/>
          <w:kern w:val="44"/>
          <w:sz w:val="32"/>
          <w:szCs w:val="32"/>
        </w:rPr>
        <w:t>关于</w:t>
      </w:r>
      <w:r w:rsidRPr="003B0336">
        <w:rPr>
          <w:rFonts w:hint="eastAsia"/>
          <w:b/>
          <w:bCs/>
          <w:kern w:val="44"/>
          <w:sz w:val="32"/>
          <w:szCs w:val="32"/>
        </w:rPr>
        <w:t>2022</w:t>
      </w:r>
      <w:r w:rsidRPr="003B0336">
        <w:rPr>
          <w:rFonts w:hint="eastAsia"/>
          <w:b/>
          <w:bCs/>
          <w:kern w:val="44"/>
          <w:sz w:val="32"/>
          <w:szCs w:val="32"/>
        </w:rPr>
        <w:t>年劳动节假期调整相关品种期货合约涨跌停板幅度和交易保证金水平的通知</w:t>
      </w:r>
    </w:p>
    <w:p w:rsidR="00DC3E9F" w:rsidRDefault="00DC3E9F" w:rsidP="00DC3E9F">
      <w:pPr>
        <w:pStyle w:val="a3"/>
        <w:jc w:val="center"/>
        <w:rPr>
          <w:kern w:val="44"/>
          <w:sz w:val="28"/>
          <w:szCs w:val="28"/>
        </w:rPr>
      </w:pPr>
      <w:r w:rsidRPr="00DC3E9F">
        <w:rPr>
          <w:rFonts w:hint="eastAsia"/>
          <w:kern w:val="44"/>
          <w:sz w:val="28"/>
          <w:szCs w:val="28"/>
        </w:rPr>
        <w:t>大商所发〔</w:t>
      </w:r>
      <w:r w:rsidRPr="00DC3E9F">
        <w:rPr>
          <w:rFonts w:hint="eastAsia"/>
          <w:kern w:val="44"/>
          <w:sz w:val="28"/>
          <w:szCs w:val="28"/>
        </w:rPr>
        <w:t>202</w:t>
      </w:r>
      <w:r w:rsidR="00F0204D">
        <w:rPr>
          <w:kern w:val="44"/>
          <w:sz w:val="28"/>
          <w:szCs w:val="28"/>
        </w:rPr>
        <w:t>2</w:t>
      </w:r>
      <w:r w:rsidRPr="00DC3E9F">
        <w:rPr>
          <w:rFonts w:hint="eastAsia"/>
          <w:kern w:val="44"/>
          <w:sz w:val="28"/>
          <w:szCs w:val="28"/>
        </w:rPr>
        <w:t>〕</w:t>
      </w:r>
      <w:r w:rsidR="007A0F98">
        <w:rPr>
          <w:kern w:val="44"/>
          <w:sz w:val="28"/>
          <w:szCs w:val="28"/>
        </w:rPr>
        <w:t>23</w:t>
      </w:r>
      <w:r w:rsidR="003B0336">
        <w:rPr>
          <w:kern w:val="44"/>
          <w:sz w:val="28"/>
          <w:szCs w:val="28"/>
        </w:rPr>
        <w:t>4</w:t>
      </w:r>
      <w:r w:rsidRPr="00DC3E9F">
        <w:rPr>
          <w:rFonts w:hint="eastAsia"/>
          <w:kern w:val="44"/>
          <w:sz w:val="28"/>
          <w:szCs w:val="28"/>
        </w:rPr>
        <w:t>号</w:t>
      </w:r>
    </w:p>
    <w:p w:rsidR="00DC3E9F" w:rsidRPr="00DC3E9F" w:rsidRDefault="00DC3E9F" w:rsidP="00DC3E9F">
      <w:pPr>
        <w:pStyle w:val="a3"/>
        <w:rPr>
          <w:kern w:val="44"/>
          <w:sz w:val="28"/>
          <w:szCs w:val="28"/>
        </w:rPr>
      </w:pPr>
      <w:r w:rsidRPr="00DC3E9F">
        <w:rPr>
          <w:rFonts w:hint="eastAsia"/>
          <w:kern w:val="44"/>
          <w:sz w:val="28"/>
          <w:szCs w:val="28"/>
        </w:rPr>
        <w:t>各有关单位：</w:t>
      </w:r>
    </w:p>
    <w:p w:rsidR="003B0336" w:rsidRPr="003B0336" w:rsidRDefault="003B0336" w:rsidP="003B0336">
      <w:pPr>
        <w:pStyle w:val="a3"/>
        <w:ind w:firstLineChars="200" w:firstLine="560"/>
        <w:rPr>
          <w:kern w:val="44"/>
          <w:sz w:val="28"/>
          <w:szCs w:val="28"/>
        </w:rPr>
      </w:pPr>
      <w:r w:rsidRPr="003B0336">
        <w:rPr>
          <w:rFonts w:hint="eastAsia"/>
          <w:kern w:val="44"/>
          <w:sz w:val="28"/>
          <w:szCs w:val="28"/>
        </w:rPr>
        <w:t>根据《大连商品交易所风险管理办法》，经研究决定，我所将在</w:t>
      </w:r>
      <w:r w:rsidRPr="003B0336">
        <w:rPr>
          <w:rFonts w:hint="eastAsia"/>
          <w:kern w:val="44"/>
          <w:sz w:val="28"/>
          <w:szCs w:val="28"/>
        </w:rPr>
        <w:t>2022</w:t>
      </w:r>
      <w:r w:rsidRPr="003B0336">
        <w:rPr>
          <w:rFonts w:hint="eastAsia"/>
          <w:kern w:val="44"/>
          <w:sz w:val="28"/>
          <w:szCs w:val="28"/>
        </w:rPr>
        <w:t>年劳动节休市前后对各品种期货合约涨跌停板幅度和交易保证金水平做如下调整：</w:t>
      </w:r>
    </w:p>
    <w:p w:rsidR="003B0336" w:rsidRPr="003B0336" w:rsidRDefault="003B0336" w:rsidP="003B0336">
      <w:pPr>
        <w:pStyle w:val="a3"/>
        <w:rPr>
          <w:rFonts w:hint="eastAsia"/>
          <w:kern w:val="44"/>
          <w:sz w:val="28"/>
          <w:szCs w:val="28"/>
        </w:rPr>
      </w:pPr>
      <w:r w:rsidRPr="003B0336">
        <w:rPr>
          <w:rFonts w:hint="eastAsia"/>
          <w:kern w:val="44"/>
          <w:sz w:val="28"/>
          <w:szCs w:val="28"/>
        </w:rPr>
        <w:t xml:space="preserve">　　自</w:t>
      </w:r>
      <w:r w:rsidRPr="003B0336">
        <w:rPr>
          <w:rFonts w:hint="eastAsia"/>
          <w:kern w:val="44"/>
          <w:sz w:val="28"/>
          <w:szCs w:val="28"/>
        </w:rPr>
        <w:t>2022</w:t>
      </w:r>
      <w:r w:rsidRPr="003B0336">
        <w:rPr>
          <w:rFonts w:hint="eastAsia"/>
          <w:kern w:val="44"/>
          <w:sz w:val="28"/>
          <w:szCs w:val="28"/>
        </w:rPr>
        <w:t>年</w:t>
      </w:r>
      <w:r w:rsidRPr="003B0336">
        <w:rPr>
          <w:rFonts w:hint="eastAsia"/>
          <w:kern w:val="44"/>
          <w:sz w:val="28"/>
          <w:szCs w:val="28"/>
        </w:rPr>
        <w:t>4</w:t>
      </w:r>
      <w:r w:rsidRPr="003B0336">
        <w:rPr>
          <w:rFonts w:hint="eastAsia"/>
          <w:kern w:val="44"/>
          <w:sz w:val="28"/>
          <w:szCs w:val="28"/>
        </w:rPr>
        <w:t>月</w:t>
      </w:r>
      <w:r w:rsidRPr="003B0336">
        <w:rPr>
          <w:rFonts w:hint="eastAsia"/>
          <w:kern w:val="44"/>
          <w:sz w:val="28"/>
          <w:szCs w:val="28"/>
        </w:rPr>
        <w:t>28</w:t>
      </w:r>
      <w:r w:rsidRPr="003B0336">
        <w:rPr>
          <w:rFonts w:hint="eastAsia"/>
          <w:kern w:val="44"/>
          <w:sz w:val="28"/>
          <w:szCs w:val="28"/>
        </w:rPr>
        <w:t>日（星期四）结算时起，棕榈油品种期货合约涨跌停板幅度和套期保值交易保证金水平调整为</w:t>
      </w:r>
      <w:r w:rsidRPr="003B0336">
        <w:rPr>
          <w:rFonts w:hint="eastAsia"/>
          <w:kern w:val="44"/>
          <w:sz w:val="28"/>
          <w:szCs w:val="28"/>
        </w:rPr>
        <w:t>10%</w:t>
      </w:r>
      <w:r w:rsidRPr="003B0336">
        <w:rPr>
          <w:rFonts w:hint="eastAsia"/>
          <w:kern w:val="44"/>
          <w:sz w:val="28"/>
          <w:szCs w:val="28"/>
        </w:rPr>
        <w:t>，投机交易保证金水平调整为</w:t>
      </w:r>
      <w:r w:rsidRPr="003B0336">
        <w:rPr>
          <w:rFonts w:hint="eastAsia"/>
          <w:kern w:val="44"/>
          <w:sz w:val="28"/>
          <w:szCs w:val="28"/>
        </w:rPr>
        <w:t>12%</w:t>
      </w:r>
      <w:r w:rsidRPr="003B0336">
        <w:rPr>
          <w:rFonts w:hint="eastAsia"/>
          <w:kern w:val="44"/>
          <w:sz w:val="28"/>
          <w:szCs w:val="28"/>
        </w:rPr>
        <w:t>；液化石油气品种期货合约涨跌停板幅度和套期保值交易保证金水平调整为</w:t>
      </w:r>
      <w:r w:rsidRPr="003B0336">
        <w:rPr>
          <w:rFonts w:hint="eastAsia"/>
          <w:kern w:val="44"/>
          <w:sz w:val="28"/>
          <w:szCs w:val="28"/>
        </w:rPr>
        <w:t>11%</w:t>
      </w:r>
      <w:r w:rsidRPr="003B0336">
        <w:rPr>
          <w:rFonts w:hint="eastAsia"/>
          <w:kern w:val="44"/>
          <w:sz w:val="28"/>
          <w:szCs w:val="28"/>
        </w:rPr>
        <w:t>，投机交易保证金水平调整为</w:t>
      </w:r>
      <w:r w:rsidRPr="003B0336">
        <w:rPr>
          <w:rFonts w:hint="eastAsia"/>
          <w:kern w:val="44"/>
          <w:sz w:val="28"/>
          <w:szCs w:val="28"/>
        </w:rPr>
        <w:t>13%</w:t>
      </w:r>
      <w:r w:rsidRPr="003B0336">
        <w:rPr>
          <w:rFonts w:hint="eastAsia"/>
          <w:kern w:val="44"/>
          <w:sz w:val="28"/>
          <w:szCs w:val="28"/>
        </w:rPr>
        <w:t>；玉米期货</w:t>
      </w:r>
      <w:r w:rsidRPr="003B0336">
        <w:rPr>
          <w:rFonts w:hint="eastAsia"/>
          <w:kern w:val="44"/>
          <w:sz w:val="28"/>
          <w:szCs w:val="28"/>
        </w:rPr>
        <w:t>C2205</w:t>
      </w:r>
      <w:r w:rsidRPr="003B0336">
        <w:rPr>
          <w:rFonts w:hint="eastAsia"/>
          <w:kern w:val="44"/>
          <w:sz w:val="28"/>
          <w:szCs w:val="28"/>
        </w:rPr>
        <w:t>合约、</w:t>
      </w:r>
      <w:r w:rsidRPr="003B0336">
        <w:rPr>
          <w:rFonts w:hint="eastAsia"/>
          <w:kern w:val="44"/>
          <w:sz w:val="28"/>
          <w:szCs w:val="28"/>
        </w:rPr>
        <w:t>C2207</w:t>
      </w:r>
      <w:r w:rsidRPr="003B0336">
        <w:rPr>
          <w:rFonts w:hint="eastAsia"/>
          <w:kern w:val="44"/>
          <w:sz w:val="28"/>
          <w:szCs w:val="28"/>
        </w:rPr>
        <w:t>合约、</w:t>
      </w:r>
      <w:r w:rsidRPr="003B0336">
        <w:rPr>
          <w:rFonts w:hint="eastAsia"/>
          <w:kern w:val="44"/>
          <w:sz w:val="28"/>
          <w:szCs w:val="28"/>
        </w:rPr>
        <w:t>C2209</w:t>
      </w:r>
      <w:r w:rsidRPr="003B0336">
        <w:rPr>
          <w:rFonts w:hint="eastAsia"/>
          <w:kern w:val="44"/>
          <w:sz w:val="28"/>
          <w:szCs w:val="28"/>
        </w:rPr>
        <w:t>合约投机交易保证金水平调整为</w:t>
      </w:r>
      <w:r w:rsidRPr="003B0336">
        <w:rPr>
          <w:rFonts w:hint="eastAsia"/>
          <w:kern w:val="44"/>
          <w:sz w:val="28"/>
          <w:szCs w:val="28"/>
        </w:rPr>
        <w:t>13%</w:t>
      </w:r>
      <w:r w:rsidRPr="003B0336">
        <w:rPr>
          <w:rFonts w:hint="eastAsia"/>
          <w:kern w:val="44"/>
          <w:sz w:val="28"/>
          <w:szCs w:val="28"/>
        </w:rPr>
        <w:t>，涨跌停板幅度和套期保值交易保证金水平维持不变；其他品种涨跌停板幅度和交易保证金水平维持不变。</w:t>
      </w:r>
    </w:p>
    <w:p w:rsidR="003B0336" w:rsidRPr="003B0336" w:rsidRDefault="003B0336" w:rsidP="003B0336">
      <w:pPr>
        <w:pStyle w:val="a3"/>
        <w:rPr>
          <w:rFonts w:hint="eastAsia"/>
          <w:kern w:val="44"/>
          <w:sz w:val="28"/>
          <w:szCs w:val="28"/>
        </w:rPr>
      </w:pPr>
      <w:r w:rsidRPr="003B0336">
        <w:rPr>
          <w:rFonts w:hint="eastAsia"/>
          <w:kern w:val="44"/>
          <w:sz w:val="28"/>
          <w:szCs w:val="28"/>
        </w:rPr>
        <w:t xml:space="preserve">　　</w:t>
      </w:r>
      <w:r w:rsidRPr="003B0336">
        <w:rPr>
          <w:rFonts w:hint="eastAsia"/>
          <w:kern w:val="44"/>
          <w:sz w:val="28"/>
          <w:szCs w:val="28"/>
        </w:rPr>
        <w:t>2022</w:t>
      </w:r>
      <w:r w:rsidRPr="003B0336">
        <w:rPr>
          <w:rFonts w:hint="eastAsia"/>
          <w:kern w:val="44"/>
          <w:sz w:val="28"/>
          <w:szCs w:val="28"/>
        </w:rPr>
        <w:t>年</w:t>
      </w:r>
      <w:r w:rsidRPr="003B0336">
        <w:rPr>
          <w:rFonts w:hint="eastAsia"/>
          <w:kern w:val="44"/>
          <w:sz w:val="28"/>
          <w:szCs w:val="28"/>
        </w:rPr>
        <w:t>5</w:t>
      </w:r>
      <w:r w:rsidRPr="003B0336">
        <w:rPr>
          <w:rFonts w:hint="eastAsia"/>
          <w:kern w:val="44"/>
          <w:sz w:val="28"/>
          <w:szCs w:val="28"/>
        </w:rPr>
        <w:t>月</w:t>
      </w:r>
      <w:r w:rsidRPr="003B0336">
        <w:rPr>
          <w:rFonts w:hint="eastAsia"/>
          <w:kern w:val="44"/>
          <w:sz w:val="28"/>
          <w:szCs w:val="28"/>
        </w:rPr>
        <w:t>5</w:t>
      </w:r>
      <w:r w:rsidRPr="003B0336">
        <w:rPr>
          <w:rFonts w:hint="eastAsia"/>
          <w:kern w:val="44"/>
          <w:sz w:val="28"/>
          <w:szCs w:val="28"/>
        </w:rPr>
        <w:t>日（星期四）恢复交易后，各品种期货合约涨跌停板幅度和交易保证金水平维持不变。</w:t>
      </w:r>
    </w:p>
    <w:p w:rsidR="003B0336" w:rsidRPr="003B0336" w:rsidRDefault="003B0336" w:rsidP="003B0336">
      <w:pPr>
        <w:pStyle w:val="a3"/>
        <w:rPr>
          <w:rFonts w:hint="eastAsia"/>
          <w:kern w:val="44"/>
          <w:sz w:val="28"/>
          <w:szCs w:val="28"/>
        </w:rPr>
      </w:pPr>
      <w:r w:rsidRPr="003B0336">
        <w:rPr>
          <w:rFonts w:hint="eastAsia"/>
          <w:kern w:val="44"/>
          <w:sz w:val="28"/>
          <w:szCs w:val="28"/>
        </w:rPr>
        <w:t xml:space="preserve">　　表：我所劳动节调整前后各品种期货合约风控参数对比</w:t>
      </w:r>
    </w:p>
    <w:tbl>
      <w:tblPr>
        <w:tblW w:w="9915" w:type="dxa"/>
        <w:jc w:val="center"/>
        <w:shd w:val="clear" w:color="auto" w:fill="FFFFFF"/>
        <w:tblCellMar>
          <w:left w:w="0" w:type="dxa"/>
          <w:right w:w="0" w:type="dxa"/>
        </w:tblCellMar>
        <w:tblLook w:val="04A0" w:firstRow="1" w:lastRow="0" w:firstColumn="1" w:lastColumn="0" w:noHBand="0" w:noVBand="1"/>
      </w:tblPr>
      <w:tblGrid>
        <w:gridCol w:w="1440"/>
        <w:gridCol w:w="1107"/>
        <w:gridCol w:w="659"/>
        <w:gridCol w:w="990"/>
        <w:gridCol w:w="1107"/>
        <w:gridCol w:w="810"/>
        <w:gridCol w:w="885"/>
        <w:gridCol w:w="1107"/>
        <w:gridCol w:w="972"/>
        <w:gridCol w:w="838"/>
      </w:tblGrid>
      <w:tr w:rsidR="003B0336" w:rsidRPr="003B0336" w:rsidTr="003B0336">
        <w:trPr>
          <w:trHeight w:val="345"/>
          <w:jc w:val="center"/>
        </w:trPr>
        <w:tc>
          <w:tcPr>
            <w:tcW w:w="1440" w:type="dxa"/>
            <w:vMerge w:val="restart"/>
            <w:tcBorders>
              <w:top w:val="single" w:sz="6" w:space="0" w:color="auto"/>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品种</w:t>
            </w:r>
          </w:p>
        </w:tc>
        <w:tc>
          <w:tcPr>
            <w:tcW w:w="2745" w:type="dxa"/>
            <w:gridSpan w:val="3"/>
            <w:tcBorders>
              <w:top w:val="single" w:sz="6" w:space="0" w:color="auto"/>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现行标准</w:t>
            </w:r>
          </w:p>
        </w:tc>
        <w:tc>
          <w:tcPr>
            <w:tcW w:w="2805" w:type="dxa"/>
            <w:gridSpan w:val="3"/>
            <w:tcBorders>
              <w:top w:val="single" w:sz="6" w:space="0" w:color="auto"/>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长假期间标准</w:t>
            </w:r>
          </w:p>
        </w:tc>
        <w:tc>
          <w:tcPr>
            <w:tcW w:w="2910" w:type="dxa"/>
            <w:gridSpan w:val="3"/>
            <w:tcBorders>
              <w:top w:val="single" w:sz="6" w:space="0" w:color="auto"/>
              <w:left w:val="nil"/>
              <w:bottom w:val="single" w:sz="6" w:space="0" w:color="auto"/>
              <w:right w:val="single" w:sz="6" w:space="0" w:color="000000"/>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长假后标准</w:t>
            </w:r>
          </w:p>
        </w:tc>
      </w:tr>
      <w:tr w:rsidR="003B0336" w:rsidRPr="003B0336" w:rsidTr="003B0336">
        <w:trPr>
          <w:trHeight w:val="345"/>
          <w:jc w:val="center"/>
        </w:trPr>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rsidR="003B0336" w:rsidRPr="003B0336" w:rsidRDefault="003B0336" w:rsidP="003B0336">
            <w:pPr>
              <w:pStyle w:val="a3"/>
              <w:rPr>
                <w:kern w:val="44"/>
                <w:sz w:val="28"/>
                <w:szCs w:val="28"/>
              </w:rPr>
            </w:pPr>
          </w:p>
        </w:tc>
        <w:tc>
          <w:tcPr>
            <w:tcW w:w="1110" w:type="dxa"/>
            <w:vMerge w:val="restart"/>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涨跌停</w:t>
            </w:r>
            <w:r w:rsidRPr="003B0336">
              <w:rPr>
                <w:rFonts w:hint="eastAsia"/>
                <w:kern w:val="44"/>
                <w:sz w:val="28"/>
                <w:szCs w:val="28"/>
              </w:rPr>
              <w:lastRenderedPageBreak/>
              <w:t>板</w:t>
            </w:r>
          </w:p>
        </w:tc>
        <w:tc>
          <w:tcPr>
            <w:tcW w:w="1650" w:type="dxa"/>
            <w:gridSpan w:val="2"/>
            <w:tcBorders>
              <w:top w:val="single" w:sz="6" w:space="0" w:color="auto"/>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lastRenderedPageBreak/>
              <w:t>交易保证金</w:t>
            </w:r>
          </w:p>
        </w:tc>
        <w:tc>
          <w:tcPr>
            <w:tcW w:w="1110" w:type="dxa"/>
            <w:vMerge w:val="restart"/>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涨跌停</w:t>
            </w:r>
            <w:r w:rsidRPr="003B0336">
              <w:rPr>
                <w:rFonts w:hint="eastAsia"/>
                <w:kern w:val="44"/>
                <w:sz w:val="28"/>
                <w:szCs w:val="28"/>
              </w:rPr>
              <w:lastRenderedPageBreak/>
              <w:t>板</w:t>
            </w:r>
          </w:p>
        </w:tc>
        <w:tc>
          <w:tcPr>
            <w:tcW w:w="1695" w:type="dxa"/>
            <w:gridSpan w:val="2"/>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lastRenderedPageBreak/>
              <w:t>交易保证金</w:t>
            </w:r>
          </w:p>
        </w:tc>
        <w:tc>
          <w:tcPr>
            <w:tcW w:w="1110" w:type="dxa"/>
            <w:vMerge w:val="restart"/>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涨跌停</w:t>
            </w:r>
            <w:r w:rsidRPr="003B0336">
              <w:rPr>
                <w:rFonts w:hint="eastAsia"/>
                <w:kern w:val="44"/>
                <w:sz w:val="28"/>
                <w:szCs w:val="28"/>
              </w:rPr>
              <w:lastRenderedPageBreak/>
              <w:t>板</w:t>
            </w:r>
          </w:p>
        </w:tc>
        <w:tc>
          <w:tcPr>
            <w:tcW w:w="1815" w:type="dxa"/>
            <w:gridSpan w:val="2"/>
            <w:tcBorders>
              <w:top w:val="nil"/>
              <w:left w:val="nil"/>
              <w:bottom w:val="single" w:sz="6" w:space="0" w:color="auto"/>
              <w:right w:val="single" w:sz="6" w:space="0" w:color="000000"/>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lastRenderedPageBreak/>
              <w:t>交易保证金</w:t>
            </w:r>
          </w:p>
        </w:tc>
      </w:tr>
      <w:tr w:rsidR="003B0336" w:rsidRPr="003B0336" w:rsidTr="003B0336">
        <w:trPr>
          <w:trHeight w:val="345"/>
          <w:jc w:val="center"/>
        </w:trPr>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rsidR="003B0336" w:rsidRPr="003B0336" w:rsidRDefault="003B0336" w:rsidP="003B0336">
            <w:pPr>
              <w:pStyle w:val="a3"/>
              <w:rPr>
                <w:kern w:val="44"/>
                <w:sz w:val="28"/>
                <w:szCs w:val="28"/>
              </w:rPr>
            </w:pPr>
          </w:p>
        </w:tc>
        <w:tc>
          <w:tcPr>
            <w:tcW w:w="0" w:type="auto"/>
            <w:vMerge/>
            <w:tcBorders>
              <w:top w:val="nil"/>
              <w:left w:val="nil"/>
              <w:bottom w:val="single" w:sz="6" w:space="0" w:color="auto"/>
              <w:right w:val="single" w:sz="6" w:space="0" w:color="auto"/>
            </w:tcBorders>
            <w:shd w:val="clear" w:color="auto" w:fill="FFFFFF"/>
            <w:vAlign w:val="center"/>
            <w:hideMark/>
          </w:tcPr>
          <w:p w:rsidR="003B0336" w:rsidRPr="003B0336" w:rsidRDefault="003B0336" w:rsidP="003B0336">
            <w:pPr>
              <w:pStyle w:val="a3"/>
              <w:rPr>
                <w:kern w:val="44"/>
                <w:sz w:val="28"/>
                <w:szCs w:val="28"/>
              </w:rPr>
            </w:pP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投机</w:t>
            </w:r>
          </w:p>
        </w:tc>
        <w:tc>
          <w:tcPr>
            <w:tcW w:w="990" w:type="dxa"/>
            <w:tcBorders>
              <w:top w:val="single" w:sz="6" w:space="0" w:color="auto"/>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保值</w:t>
            </w:r>
          </w:p>
        </w:tc>
        <w:tc>
          <w:tcPr>
            <w:tcW w:w="0" w:type="auto"/>
            <w:vMerge/>
            <w:tcBorders>
              <w:top w:val="nil"/>
              <w:left w:val="nil"/>
              <w:bottom w:val="single" w:sz="6" w:space="0" w:color="auto"/>
              <w:right w:val="single" w:sz="6" w:space="0" w:color="auto"/>
            </w:tcBorders>
            <w:shd w:val="clear" w:color="auto" w:fill="FFFFFF"/>
            <w:vAlign w:val="center"/>
            <w:hideMark/>
          </w:tcPr>
          <w:p w:rsidR="003B0336" w:rsidRPr="003B0336" w:rsidRDefault="003B0336" w:rsidP="003B0336">
            <w:pPr>
              <w:pStyle w:val="a3"/>
              <w:rPr>
                <w:kern w:val="44"/>
                <w:sz w:val="28"/>
                <w:szCs w:val="28"/>
              </w:rPr>
            </w:pP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投机</w:t>
            </w:r>
          </w:p>
        </w:tc>
        <w:tc>
          <w:tcPr>
            <w:tcW w:w="885" w:type="dxa"/>
            <w:tcBorders>
              <w:top w:val="single" w:sz="6" w:space="0" w:color="auto"/>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保值</w:t>
            </w:r>
          </w:p>
        </w:tc>
        <w:tc>
          <w:tcPr>
            <w:tcW w:w="0" w:type="auto"/>
            <w:vMerge/>
            <w:tcBorders>
              <w:top w:val="nil"/>
              <w:left w:val="nil"/>
              <w:bottom w:val="single" w:sz="6" w:space="0" w:color="auto"/>
              <w:right w:val="single" w:sz="6" w:space="0" w:color="auto"/>
            </w:tcBorders>
            <w:shd w:val="clear" w:color="auto" w:fill="FFFFFF"/>
            <w:vAlign w:val="center"/>
            <w:hideMark/>
          </w:tcPr>
          <w:p w:rsidR="003B0336" w:rsidRPr="003B0336" w:rsidRDefault="003B0336" w:rsidP="003B0336">
            <w:pPr>
              <w:pStyle w:val="a3"/>
              <w:rPr>
                <w:kern w:val="44"/>
                <w:sz w:val="28"/>
                <w:szCs w:val="28"/>
              </w:rPr>
            </w:pP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投机</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保值</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铁矿石</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13%</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13%</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13%</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焦炭</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20%</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20%</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20%</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焦煤</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20%</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20%</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20%</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黄大豆</w:t>
            </w:r>
            <w:r w:rsidRPr="003B0336">
              <w:rPr>
                <w:rFonts w:hint="eastAsia"/>
                <w:kern w:val="44"/>
                <w:sz w:val="28"/>
                <w:szCs w:val="28"/>
              </w:rPr>
              <w:t>1</w:t>
            </w:r>
            <w:r w:rsidRPr="003B0336">
              <w:rPr>
                <w:rFonts w:hint="eastAsia"/>
                <w:kern w:val="44"/>
                <w:sz w:val="28"/>
                <w:szCs w:val="28"/>
              </w:rPr>
              <w:t>号</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黄大豆</w:t>
            </w:r>
            <w:r w:rsidRPr="003B0336">
              <w:rPr>
                <w:rFonts w:hint="eastAsia"/>
                <w:kern w:val="44"/>
                <w:sz w:val="28"/>
                <w:szCs w:val="28"/>
              </w:rPr>
              <w:t>2</w:t>
            </w:r>
            <w:r w:rsidRPr="003B0336">
              <w:rPr>
                <w:rFonts w:hint="eastAsia"/>
                <w:kern w:val="44"/>
                <w:sz w:val="28"/>
                <w:szCs w:val="28"/>
              </w:rPr>
              <w:t>号</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豆粕</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豆油</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棕榈油</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9%</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11%</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9%</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10%</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12%</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10%</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10%</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12%</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10%</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玉米</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玉米淀粉</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7%</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7%</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7%</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7%</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7%</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7%</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粳米</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6%</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6%</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6%</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鸡蛋</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9%</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生猪</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15%</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聚乙烯</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聚丙烯</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聚氯乙烯</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11%</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8%</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乙二醇</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苯乙烯</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12%</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液化石油气</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10%</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12%</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10%</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11%</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13%</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11%</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11%</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13%</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b/>
                <w:bCs/>
                <w:kern w:val="44"/>
                <w:sz w:val="28"/>
                <w:szCs w:val="28"/>
              </w:rPr>
              <w:t>11%</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纤维板</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10%</w:t>
            </w:r>
          </w:p>
        </w:tc>
      </w:tr>
      <w:tr w:rsidR="003B0336" w:rsidRPr="003B0336" w:rsidTr="003B0336">
        <w:trPr>
          <w:trHeight w:val="345"/>
          <w:jc w:val="center"/>
        </w:trPr>
        <w:tc>
          <w:tcPr>
            <w:tcW w:w="1440" w:type="dxa"/>
            <w:tcBorders>
              <w:top w:val="nil"/>
              <w:left w:val="single" w:sz="6" w:space="0" w:color="auto"/>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lastRenderedPageBreak/>
              <w:t>胶合板</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c>
          <w:tcPr>
            <w:tcW w:w="66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40%</w:t>
            </w:r>
          </w:p>
        </w:tc>
        <w:tc>
          <w:tcPr>
            <w:tcW w:w="99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40%</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c>
          <w:tcPr>
            <w:tcW w:w="810" w:type="dxa"/>
            <w:tcBorders>
              <w:top w:val="nil"/>
              <w:left w:val="nil"/>
              <w:bottom w:val="single" w:sz="6" w:space="0" w:color="auto"/>
              <w:right w:val="single" w:sz="6" w:space="0" w:color="auto"/>
            </w:tcBorders>
            <w:shd w:val="clear" w:color="auto" w:fill="auto"/>
            <w:noWrap/>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40%</w:t>
            </w:r>
          </w:p>
        </w:tc>
        <w:tc>
          <w:tcPr>
            <w:tcW w:w="88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40%</w:t>
            </w:r>
          </w:p>
        </w:tc>
        <w:tc>
          <w:tcPr>
            <w:tcW w:w="111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5%</w:t>
            </w:r>
          </w:p>
        </w:tc>
        <w:tc>
          <w:tcPr>
            <w:tcW w:w="975"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40%</w:t>
            </w:r>
          </w:p>
        </w:tc>
        <w:tc>
          <w:tcPr>
            <w:tcW w:w="840" w:type="dxa"/>
            <w:tcBorders>
              <w:top w:val="nil"/>
              <w:left w:val="nil"/>
              <w:bottom w:val="single" w:sz="6" w:space="0" w:color="auto"/>
              <w:right w:val="single" w:sz="6" w:space="0" w:color="auto"/>
            </w:tcBorders>
            <w:shd w:val="clear" w:color="auto" w:fill="auto"/>
            <w:vAlign w:val="center"/>
            <w:hideMark/>
          </w:tcPr>
          <w:p w:rsidR="003B0336" w:rsidRPr="003B0336" w:rsidRDefault="003B0336" w:rsidP="003B0336">
            <w:pPr>
              <w:pStyle w:val="a3"/>
              <w:rPr>
                <w:rFonts w:hint="eastAsia"/>
                <w:kern w:val="44"/>
                <w:sz w:val="28"/>
                <w:szCs w:val="28"/>
              </w:rPr>
            </w:pPr>
            <w:r w:rsidRPr="003B0336">
              <w:rPr>
                <w:rFonts w:hint="eastAsia"/>
                <w:kern w:val="44"/>
                <w:sz w:val="28"/>
                <w:szCs w:val="28"/>
              </w:rPr>
              <w:t>40%</w:t>
            </w:r>
          </w:p>
        </w:tc>
      </w:tr>
    </w:tbl>
    <w:p w:rsidR="003B0336" w:rsidRPr="003B0336" w:rsidRDefault="003B0336" w:rsidP="003B0336">
      <w:pPr>
        <w:pStyle w:val="a3"/>
        <w:rPr>
          <w:rFonts w:hint="eastAsia"/>
          <w:kern w:val="44"/>
          <w:sz w:val="28"/>
          <w:szCs w:val="28"/>
        </w:rPr>
      </w:pPr>
      <w:r w:rsidRPr="003B0336">
        <w:rPr>
          <w:rFonts w:hint="eastAsia"/>
          <w:kern w:val="44"/>
          <w:sz w:val="28"/>
          <w:szCs w:val="28"/>
        </w:rPr>
        <w:t xml:space="preserve">　　注：铁矿石期货</w:t>
      </w:r>
      <w:r w:rsidRPr="003B0336">
        <w:rPr>
          <w:rFonts w:hint="eastAsia"/>
          <w:kern w:val="44"/>
          <w:sz w:val="28"/>
          <w:szCs w:val="28"/>
        </w:rPr>
        <w:t>I2205</w:t>
      </w:r>
      <w:r w:rsidRPr="003B0336">
        <w:rPr>
          <w:rFonts w:hint="eastAsia"/>
          <w:kern w:val="44"/>
          <w:sz w:val="28"/>
          <w:szCs w:val="28"/>
        </w:rPr>
        <w:t>、</w:t>
      </w:r>
      <w:r w:rsidRPr="003B0336">
        <w:rPr>
          <w:rFonts w:hint="eastAsia"/>
          <w:kern w:val="44"/>
          <w:sz w:val="28"/>
          <w:szCs w:val="28"/>
        </w:rPr>
        <w:t>I2209</w:t>
      </w:r>
      <w:r w:rsidRPr="003B0336">
        <w:rPr>
          <w:rFonts w:hint="eastAsia"/>
          <w:kern w:val="44"/>
          <w:sz w:val="28"/>
          <w:szCs w:val="28"/>
        </w:rPr>
        <w:t>合约投机交易保证金水平为</w:t>
      </w:r>
      <w:r w:rsidRPr="003B0336">
        <w:rPr>
          <w:rFonts w:hint="eastAsia"/>
          <w:kern w:val="44"/>
          <w:sz w:val="28"/>
          <w:szCs w:val="28"/>
        </w:rPr>
        <w:t>15%</w:t>
      </w:r>
      <w:r w:rsidRPr="003B0336">
        <w:rPr>
          <w:rFonts w:hint="eastAsia"/>
          <w:kern w:val="44"/>
          <w:sz w:val="28"/>
          <w:szCs w:val="28"/>
        </w:rPr>
        <w:t>；棕榈油期货</w:t>
      </w:r>
      <w:r w:rsidRPr="003B0336">
        <w:rPr>
          <w:rFonts w:hint="eastAsia"/>
          <w:kern w:val="44"/>
          <w:sz w:val="28"/>
          <w:szCs w:val="28"/>
        </w:rPr>
        <w:t>P2205</w:t>
      </w:r>
      <w:r w:rsidRPr="003B0336">
        <w:rPr>
          <w:rFonts w:hint="eastAsia"/>
          <w:kern w:val="44"/>
          <w:sz w:val="28"/>
          <w:szCs w:val="28"/>
        </w:rPr>
        <w:t>合约投机交易保证金水平为</w:t>
      </w:r>
      <w:r w:rsidRPr="003B0336">
        <w:rPr>
          <w:rFonts w:hint="eastAsia"/>
          <w:kern w:val="44"/>
          <w:sz w:val="28"/>
          <w:szCs w:val="28"/>
        </w:rPr>
        <w:t>13%</w:t>
      </w:r>
      <w:r w:rsidRPr="003B0336">
        <w:rPr>
          <w:rFonts w:hint="eastAsia"/>
          <w:kern w:val="44"/>
          <w:sz w:val="28"/>
          <w:szCs w:val="28"/>
        </w:rPr>
        <w:t>；黄大豆</w:t>
      </w:r>
      <w:r w:rsidRPr="003B0336">
        <w:rPr>
          <w:rFonts w:hint="eastAsia"/>
          <w:kern w:val="44"/>
          <w:sz w:val="28"/>
          <w:szCs w:val="28"/>
        </w:rPr>
        <w:t>2</w:t>
      </w:r>
      <w:r w:rsidRPr="003B0336">
        <w:rPr>
          <w:rFonts w:hint="eastAsia"/>
          <w:kern w:val="44"/>
          <w:sz w:val="28"/>
          <w:szCs w:val="28"/>
        </w:rPr>
        <w:t>号期货</w:t>
      </w:r>
      <w:r w:rsidRPr="003B0336">
        <w:rPr>
          <w:rFonts w:hint="eastAsia"/>
          <w:kern w:val="44"/>
          <w:sz w:val="28"/>
          <w:szCs w:val="28"/>
        </w:rPr>
        <w:t>B2205</w:t>
      </w:r>
      <w:r w:rsidRPr="003B0336">
        <w:rPr>
          <w:rFonts w:hint="eastAsia"/>
          <w:kern w:val="44"/>
          <w:sz w:val="28"/>
          <w:szCs w:val="28"/>
        </w:rPr>
        <w:t>合约、豆粕期货</w:t>
      </w:r>
      <w:r w:rsidRPr="003B0336">
        <w:rPr>
          <w:rFonts w:hint="eastAsia"/>
          <w:kern w:val="44"/>
          <w:sz w:val="28"/>
          <w:szCs w:val="28"/>
        </w:rPr>
        <w:t>M2205</w:t>
      </w:r>
      <w:r w:rsidRPr="003B0336">
        <w:rPr>
          <w:rFonts w:hint="eastAsia"/>
          <w:kern w:val="44"/>
          <w:sz w:val="28"/>
          <w:szCs w:val="28"/>
        </w:rPr>
        <w:t>、</w:t>
      </w:r>
      <w:r w:rsidRPr="003B0336">
        <w:rPr>
          <w:rFonts w:hint="eastAsia"/>
          <w:kern w:val="44"/>
          <w:sz w:val="28"/>
          <w:szCs w:val="28"/>
        </w:rPr>
        <w:t>M2209</w:t>
      </w:r>
      <w:r w:rsidRPr="003B0336">
        <w:rPr>
          <w:rFonts w:hint="eastAsia"/>
          <w:kern w:val="44"/>
          <w:sz w:val="28"/>
          <w:szCs w:val="28"/>
        </w:rPr>
        <w:t>合约、豆油期货</w:t>
      </w:r>
      <w:r w:rsidRPr="003B0336">
        <w:rPr>
          <w:rFonts w:hint="eastAsia"/>
          <w:kern w:val="44"/>
          <w:sz w:val="28"/>
          <w:szCs w:val="28"/>
        </w:rPr>
        <w:t>Y2205</w:t>
      </w:r>
      <w:r w:rsidRPr="003B0336">
        <w:rPr>
          <w:rFonts w:hint="eastAsia"/>
          <w:kern w:val="44"/>
          <w:sz w:val="28"/>
          <w:szCs w:val="28"/>
        </w:rPr>
        <w:t>合约、玉米淀粉期货</w:t>
      </w:r>
      <w:r w:rsidRPr="003B0336">
        <w:rPr>
          <w:rFonts w:hint="eastAsia"/>
          <w:kern w:val="44"/>
          <w:sz w:val="28"/>
          <w:szCs w:val="28"/>
        </w:rPr>
        <w:t>CS2205</w:t>
      </w:r>
      <w:r w:rsidRPr="003B0336">
        <w:rPr>
          <w:rFonts w:hint="eastAsia"/>
          <w:kern w:val="44"/>
          <w:sz w:val="28"/>
          <w:szCs w:val="28"/>
        </w:rPr>
        <w:t>合约投机交易保证金水平为</w:t>
      </w:r>
      <w:r w:rsidRPr="003B0336">
        <w:rPr>
          <w:rFonts w:hint="eastAsia"/>
          <w:kern w:val="44"/>
          <w:sz w:val="28"/>
          <w:szCs w:val="28"/>
        </w:rPr>
        <w:t>12%</w:t>
      </w:r>
      <w:r w:rsidRPr="003B0336">
        <w:rPr>
          <w:rFonts w:hint="eastAsia"/>
          <w:kern w:val="44"/>
          <w:sz w:val="28"/>
          <w:szCs w:val="28"/>
        </w:rPr>
        <w:t>。</w:t>
      </w:r>
    </w:p>
    <w:p w:rsidR="003B0336" w:rsidRPr="003B0336" w:rsidRDefault="003B0336" w:rsidP="003B0336">
      <w:pPr>
        <w:pStyle w:val="a3"/>
        <w:rPr>
          <w:rFonts w:hint="eastAsia"/>
          <w:kern w:val="44"/>
          <w:sz w:val="28"/>
          <w:szCs w:val="28"/>
        </w:rPr>
      </w:pPr>
      <w:r w:rsidRPr="003B0336">
        <w:rPr>
          <w:rFonts w:hint="eastAsia"/>
          <w:kern w:val="44"/>
          <w:sz w:val="28"/>
          <w:szCs w:val="28"/>
        </w:rPr>
        <w:t xml:space="preserve">　　如遇上述涨跌停板幅度、交易保证金水平与现行执行的涨跌停板幅度、交易保证金水平不同时，则按两者中幅度大、水平高的执行。</w:t>
      </w:r>
    </w:p>
    <w:p w:rsidR="003B0336" w:rsidRPr="003B0336" w:rsidRDefault="003B0336" w:rsidP="003B0336">
      <w:pPr>
        <w:pStyle w:val="a3"/>
        <w:rPr>
          <w:rFonts w:hint="eastAsia"/>
          <w:kern w:val="44"/>
          <w:sz w:val="28"/>
          <w:szCs w:val="28"/>
        </w:rPr>
      </w:pPr>
      <w:r w:rsidRPr="003B0336">
        <w:rPr>
          <w:rFonts w:hint="eastAsia"/>
          <w:kern w:val="44"/>
          <w:sz w:val="28"/>
          <w:szCs w:val="28"/>
        </w:rPr>
        <w:t xml:space="preserve">　　请各会员单位做好对客户的风险提示工作，加强市场风险防范，确保市场平稳运行。</w:t>
      </w:r>
    </w:p>
    <w:p w:rsidR="007A0F98" w:rsidRPr="007A0F98" w:rsidRDefault="007A0F98" w:rsidP="003B0336">
      <w:pPr>
        <w:pStyle w:val="a3"/>
        <w:ind w:firstLineChars="200" w:firstLine="560"/>
        <w:rPr>
          <w:kern w:val="44"/>
          <w:sz w:val="28"/>
          <w:szCs w:val="28"/>
        </w:rPr>
      </w:pPr>
      <w:bookmarkStart w:id="0" w:name="_GoBack"/>
      <w:bookmarkEnd w:id="0"/>
      <w:r w:rsidRPr="007A0F98">
        <w:rPr>
          <w:rFonts w:hint="eastAsia"/>
          <w:kern w:val="44"/>
          <w:sz w:val="28"/>
          <w:szCs w:val="28"/>
        </w:rPr>
        <w:t>特此通知。</w:t>
      </w:r>
    </w:p>
    <w:p w:rsidR="00DC3E9F" w:rsidRPr="00E814F9" w:rsidRDefault="00DC3E9F" w:rsidP="00DC3E9F">
      <w:pPr>
        <w:pStyle w:val="a3"/>
        <w:ind w:firstLineChars="2000" w:firstLine="5600"/>
        <w:rPr>
          <w:kern w:val="44"/>
          <w:sz w:val="28"/>
          <w:szCs w:val="28"/>
        </w:rPr>
      </w:pPr>
    </w:p>
    <w:p w:rsidR="00DC3E9F" w:rsidRPr="00DC3E9F" w:rsidRDefault="00DC3E9F" w:rsidP="00DC3E9F">
      <w:pPr>
        <w:pStyle w:val="a3"/>
        <w:ind w:firstLineChars="2000" w:firstLine="5600"/>
        <w:rPr>
          <w:kern w:val="44"/>
          <w:sz w:val="28"/>
          <w:szCs w:val="28"/>
        </w:rPr>
      </w:pPr>
      <w:r w:rsidRPr="00DC3E9F">
        <w:rPr>
          <w:rFonts w:hint="eastAsia"/>
          <w:kern w:val="44"/>
          <w:sz w:val="28"/>
          <w:szCs w:val="28"/>
        </w:rPr>
        <w:t>大连商品交易所</w:t>
      </w:r>
    </w:p>
    <w:p w:rsidR="006E686F" w:rsidRPr="006B3637" w:rsidRDefault="00DC3E9F" w:rsidP="007A0F98">
      <w:pPr>
        <w:pStyle w:val="a3"/>
        <w:ind w:firstLineChars="2000" w:firstLine="5600"/>
        <w:rPr>
          <w:kern w:val="44"/>
          <w:sz w:val="28"/>
          <w:szCs w:val="28"/>
        </w:rPr>
      </w:pPr>
      <w:r w:rsidRPr="00DC3E9F">
        <w:rPr>
          <w:rFonts w:hint="eastAsia"/>
          <w:kern w:val="44"/>
          <w:sz w:val="28"/>
          <w:szCs w:val="28"/>
        </w:rPr>
        <w:t>202</w:t>
      </w:r>
      <w:r w:rsidR="00F0204D">
        <w:rPr>
          <w:kern w:val="44"/>
          <w:sz w:val="28"/>
          <w:szCs w:val="28"/>
        </w:rPr>
        <w:t>2</w:t>
      </w:r>
      <w:r w:rsidRPr="00DC3E9F">
        <w:rPr>
          <w:rFonts w:hint="eastAsia"/>
          <w:kern w:val="44"/>
          <w:sz w:val="28"/>
          <w:szCs w:val="28"/>
        </w:rPr>
        <w:t>年</w:t>
      </w:r>
      <w:r w:rsidR="007A0F98">
        <w:rPr>
          <w:kern w:val="44"/>
          <w:sz w:val="28"/>
          <w:szCs w:val="28"/>
        </w:rPr>
        <w:t>4</w:t>
      </w:r>
      <w:r w:rsidRPr="00DC3E9F">
        <w:rPr>
          <w:rFonts w:hint="eastAsia"/>
          <w:kern w:val="44"/>
          <w:sz w:val="28"/>
          <w:szCs w:val="28"/>
        </w:rPr>
        <w:t>月</w:t>
      </w:r>
      <w:r w:rsidR="007A0F98">
        <w:rPr>
          <w:kern w:val="44"/>
          <w:sz w:val="28"/>
          <w:szCs w:val="28"/>
        </w:rPr>
        <w:t>26</w:t>
      </w:r>
      <w:r w:rsidRPr="00DC3E9F">
        <w:rPr>
          <w:rFonts w:hint="eastAsia"/>
          <w:kern w:val="44"/>
          <w:sz w:val="28"/>
          <w:szCs w:val="28"/>
        </w:rPr>
        <w:t>日</w:t>
      </w:r>
    </w:p>
    <w:sectPr w:rsidR="006E686F" w:rsidRPr="006B36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F58" w:rsidRDefault="00933F58" w:rsidP="00E15C42">
      <w:r>
        <w:separator/>
      </w:r>
    </w:p>
  </w:endnote>
  <w:endnote w:type="continuationSeparator" w:id="0">
    <w:p w:rsidR="00933F58" w:rsidRDefault="00933F58" w:rsidP="00E1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F58" w:rsidRDefault="00933F58" w:rsidP="00E15C42">
      <w:r>
        <w:separator/>
      </w:r>
    </w:p>
  </w:footnote>
  <w:footnote w:type="continuationSeparator" w:id="0">
    <w:p w:rsidR="00933F58" w:rsidRDefault="00933F58" w:rsidP="00E15C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D4D5A"/>
    <w:rsid w:val="00097DEC"/>
    <w:rsid w:val="000A31AA"/>
    <w:rsid w:val="00190E30"/>
    <w:rsid w:val="00363331"/>
    <w:rsid w:val="003B0336"/>
    <w:rsid w:val="00451199"/>
    <w:rsid w:val="004559B5"/>
    <w:rsid w:val="00473145"/>
    <w:rsid w:val="006538E8"/>
    <w:rsid w:val="006B3637"/>
    <w:rsid w:val="006E686F"/>
    <w:rsid w:val="00720B0F"/>
    <w:rsid w:val="0072616B"/>
    <w:rsid w:val="0076387D"/>
    <w:rsid w:val="007A0F98"/>
    <w:rsid w:val="00840AEA"/>
    <w:rsid w:val="00933F58"/>
    <w:rsid w:val="0094476E"/>
    <w:rsid w:val="009C284B"/>
    <w:rsid w:val="00A3189F"/>
    <w:rsid w:val="00B11D06"/>
    <w:rsid w:val="00B7494D"/>
    <w:rsid w:val="00CE4D9B"/>
    <w:rsid w:val="00DC3E9F"/>
    <w:rsid w:val="00DD2439"/>
    <w:rsid w:val="00E15C42"/>
    <w:rsid w:val="00E209D2"/>
    <w:rsid w:val="00E3551C"/>
    <w:rsid w:val="00E814F9"/>
    <w:rsid w:val="00F0204D"/>
    <w:rsid w:val="00FB365E"/>
    <w:rsid w:val="00FC16F2"/>
    <w:rsid w:val="00FD073A"/>
    <w:rsid w:val="18FD4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20D621-0B17-48F7-A77A-FDA4EA493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Hyperlink"/>
    <w:basedOn w:val="a0"/>
    <w:rPr>
      <w:color w:val="0000FF"/>
      <w:u w:val="single"/>
    </w:rPr>
  </w:style>
  <w:style w:type="paragraph" w:styleId="a5">
    <w:name w:val="header"/>
    <w:basedOn w:val="a"/>
    <w:link w:val="Char"/>
    <w:rsid w:val="00E15C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15C42"/>
    <w:rPr>
      <w:rFonts w:asciiTheme="minorHAnsi" w:eastAsiaTheme="minorEastAsia" w:hAnsiTheme="minorHAnsi" w:cstheme="minorBidi"/>
      <w:kern w:val="2"/>
      <w:sz w:val="18"/>
      <w:szCs w:val="18"/>
    </w:rPr>
  </w:style>
  <w:style w:type="paragraph" w:styleId="a6">
    <w:name w:val="footer"/>
    <w:basedOn w:val="a"/>
    <w:link w:val="Char0"/>
    <w:rsid w:val="00E15C42"/>
    <w:pPr>
      <w:tabs>
        <w:tab w:val="center" w:pos="4153"/>
        <w:tab w:val="right" w:pos="8306"/>
      </w:tabs>
      <w:snapToGrid w:val="0"/>
      <w:jc w:val="left"/>
    </w:pPr>
    <w:rPr>
      <w:sz w:val="18"/>
      <w:szCs w:val="18"/>
    </w:rPr>
  </w:style>
  <w:style w:type="character" w:customStyle="1" w:styleId="Char0">
    <w:name w:val="页脚 Char"/>
    <w:basedOn w:val="a0"/>
    <w:link w:val="a6"/>
    <w:rsid w:val="00E15C4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80575">
      <w:bodyDiv w:val="1"/>
      <w:marLeft w:val="0"/>
      <w:marRight w:val="0"/>
      <w:marTop w:val="0"/>
      <w:marBottom w:val="0"/>
      <w:divBdr>
        <w:top w:val="none" w:sz="0" w:space="0" w:color="auto"/>
        <w:left w:val="none" w:sz="0" w:space="0" w:color="auto"/>
        <w:bottom w:val="none" w:sz="0" w:space="0" w:color="auto"/>
        <w:right w:val="none" w:sz="0" w:space="0" w:color="auto"/>
      </w:divBdr>
    </w:div>
    <w:div w:id="63530805">
      <w:bodyDiv w:val="1"/>
      <w:marLeft w:val="0"/>
      <w:marRight w:val="0"/>
      <w:marTop w:val="0"/>
      <w:marBottom w:val="0"/>
      <w:divBdr>
        <w:top w:val="none" w:sz="0" w:space="0" w:color="auto"/>
        <w:left w:val="none" w:sz="0" w:space="0" w:color="auto"/>
        <w:bottom w:val="none" w:sz="0" w:space="0" w:color="auto"/>
        <w:right w:val="none" w:sz="0" w:space="0" w:color="auto"/>
      </w:divBdr>
    </w:div>
    <w:div w:id="331448146">
      <w:bodyDiv w:val="1"/>
      <w:marLeft w:val="0"/>
      <w:marRight w:val="0"/>
      <w:marTop w:val="0"/>
      <w:marBottom w:val="0"/>
      <w:divBdr>
        <w:top w:val="none" w:sz="0" w:space="0" w:color="auto"/>
        <w:left w:val="none" w:sz="0" w:space="0" w:color="auto"/>
        <w:bottom w:val="none" w:sz="0" w:space="0" w:color="auto"/>
        <w:right w:val="none" w:sz="0" w:space="0" w:color="auto"/>
      </w:divBdr>
    </w:div>
    <w:div w:id="348220792">
      <w:bodyDiv w:val="1"/>
      <w:marLeft w:val="0"/>
      <w:marRight w:val="0"/>
      <w:marTop w:val="0"/>
      <w:marBottom w:val="0"/>
      <w:divBdr>
        <w:top w:val="none" w:sz="0" w:space="0" w:color="auto"/>
        <w:left w:val="none" w:sz="0" w:space="0" w:color="auto"/>
        <w:bottom w:val="none" w:sz="0" w:space="0" w:color="auto"/>
        <w:right w:val="none" w:sz="0" w:space="0" w:color="auto"/>
      </w:divBdr>
    </w:div>
    <w:div w:id="383454861">
      <w:bodyDiv w:val="1"/>
      <w:marLeft w:val="0"/>
      <w:marRight w:val="0"/>
      <w:marTop w:val="0"/>
      <w:marBottom w:val="0"/>
      <w:divBdr>
        <w:top w:val="none" w:sz="0" w:space="0" w:color="auto"/>
        <w:left w:val="none" w:sz="0" w:space="0" w:color="auto"/>
        <w:bottom w:val="none" w:sz="0" w:space="0" w:color="auto"/>
        <w:right w:val="none" w:sz="0" w:space="0" w:color="auto"/>
      </w:divBdr>
    </w:div>
    <w:div w:id="425807739">
      <w:bodyDiv w:val="1"/>
      <w:marLeft w:val="0"/>
      <w:marRight w:val="0"/>
      <w:marTop w:val="0"/>
      <w:marBottom w:val="0"/>
      <w:divBdr>
        <w:top w:val="none" w:sz="0" w:space="0" w:color="auto"/>
        <w:left w:val="none" w:sz="0" w:space="0" w:color="auto"/>
        <w:bottom w:val="none" w:sz="0" w:space="0" w:color="auto"/>
        <w:right w:val="none" w:sz="0" w:space="0" w:color="auto"/>
      </w:divBdr>
    </w:div>
    <w:div w:id="526677777">
      <w:bodyDiv w:val="1"/>
      <w:marLeft w:val="0"/>
      <w:marRight w:val="0"/>
      <w:marTop w:val="0"/>
      <w:marBottom w:val="0"/>
      <w:divBdr>
        <w:top w:val="none" w:sz="0" w:space="0" w:color="auto"/>
        <w:left w:val="none" w:sz="0" w:space="0" w:color="auto"/>
        <w:bottom w:val="none" w:sz="0" w:space="0" w:color="auto"/>
        <w:right w:val="none" w:sz="0" w:space="0" w:color="auto"/>
      </w:divBdr>
    </w:div>
    <w:div w:id="684792469">
      <w:bodyDiv w:val="1"/>
      <w:marLeft w:val="0"/>
      <w:marRight w:val="0"/>
      <w:marTop w:val="0"/>
      <w:marBottom w:val="0"/>
      <w:divBdr>
        <w:top w:val="none" w:sz="0" w:space="0" w:color="auto"/>
        <w:left w:val="none" w:sz="0" w:space="0" w:color="auto"/>
        <w:bottom w:val="none" w:sz="0" w:space="0" w:color="auto"/>
        <w:right w:val="none" w:sz="0" w:space="0" w:color="auto"/>
      </w:divBdr>
    </w:div>
    <w:div w:id="991061581">
      <w:bodyDiv w:val="1"/>
      <w:marLeft w:val="0"/>
      <w:marRight w:val="0"/>
      <w:marTop w:val="0"/>
      <w:marBottom w:val="0"/>
      <w:divBdr>
        <w:top w:val="none" w:sz="0" w:space="0" w:color="auto"/>
        <w:left w:val="none" w:sz="0" w:space="0" w:color="auto"/>
        <w:bottom w:val="none" w:sz="0" w:space="0" w:color="auto"/>
        <w:right w:val="none" w:sz="0" w:space="0" w:color="auto"/>
      </w:divBdr>
    </w:div>
    <w:div w:id="1019966281">
      <w:bodyDiv w:val="1"/>
      <w:marLeft w:val="0"/>
      <w:marRight w:val="0"/>
      <w:marTop w:val="0"/>
      <w:marBottom w:val="0"/>
      <w:divBdr>
        <w:top w:val="none" w:sz="0" w:space="0" w:color="auto"/>
        <w:left w:val="none" w:sz="0" w:space="0" w:color="auto"/>
        <w:bottom w:val="none" w:sz="0" w:space="0" w:color="auto"/>
        <w:right w:val="none" w:sz="0" w:space="0" w:color="auto"/>
      </w:divBdr>
    </w:div>
    <w:div w:id="1141117301">
      <w:bodyDiv w:val="1"/>
      <w:marLeft w:val="0"/>
      <w:marRight w:val="0"/>
      <w:marTop w:val="0"/>
      <w:marBottom w:val="0"/>
      <w:divBdr>
        <w:top w:val="none" w:sz="0" w:space="0" w:color="auto"/>
        <w:left w:val="none" w:sz="0" w:space="0" w:color="auto"/>
        <w:bottom w:val="none" w:sz="0" w:space="0" w:color="auto"/>
        <w:right w:val="none" w:sz="0" w:space="0" w:color="auto"/>
      </w:divBdr>
    </w:div>
    <w:div w:id="1171337874">
      <w:bodyDiv w:val="1"/>
      <w:marLeft w:val="0"/>
      <w:marRight w:val="0"/>
      <w:marTop w:val="0"/>
      <w:marBottom w:val="0"/>
      <w:divBdr>
        <w:top w:val="none" w:sz="0" w:space="0" w:color="auto"/>
        <w:left w:val="none" w:sz="0" w:space="0" w:color="auto"/>
        <w:bottom w:val="none" w:sz="0" w:space="0" w:color="auto"/>
        <w:right w:val="none" w:sz="0" w:space="0" w:color="auto"/>
      </w:divBdr>
    </w:div>
    <w:div w:id="1656496118">
      <w:bodyDiv w:val="1"/>
      <w:marLeft w:val="0"/>
      <w:marRight w:val="0"/>
      <w:marTop w:val="0"/>
      <w:marBottom w:val="0"/>
      <w:divBdr>
        <w:top w:val="none" w:sz="0" w:space="0" w:color="auto"/>
        <w:left w:val="none" w:sz="0" w:space="0" w:color="auto"/>
        <w:bottom w:val="none" w:sz="0" w:space="0" w:color="auto"/>
        <w:right w:val="none" w:sz="0" w:space="0" w:color="auto"/>
      </w:divBdr>
    </w:div>
    <w:div w:id="1743063253">
      <w:bodyDiv w:val="1"/>
      <w:marLeft w:val="0"/>
      <w:marRight w:val="0"/>
      <w:marTop w:val="0"/>
      <w:marBottom w:val="0"/>
      <w:divBdr>
        <w:top w:val="none" w:sz="0" w:space="0" w:color="auto"/>
        <w:left w:val="none" w:sz="0" w:space="0" w:color="auto"/>
        <w:bottom w:val="none" w:sz="0" w:space="0" w:color="auto"/>
        <w:right w:val="none" w:sz="0" w:space="0" w:color="auto"/>
      </w:divBdr>
    </w:div>
    <w:div w:id="1788233966">
      <w:bodyDiv w:val="1"/>
      <w:marLeft w:val="0"/>
      <w:marRight w:val="0"/>
      <w:marTop w:val="0"/>
      <w:marBottom w:val="0"/>
      <w:divBdr>
        <w:top w:val="none" w:sz="0" w:space="0" w:color="auto"/>
        <w:left w:val="none" w:sz="0" w:space="0" w:color="auto"/>
        <w:bottom w:val="none" w:sz="0" w:space="0" w:color="auto"/>
        <w:right w:val="none" w:sz="0" w:space="0" w:color="auto"/>
      </w:divBdr>
    </w:div>
    <w:div w:id="1800026662">
      <w:bodyDiv w:val="1"/>
      <w:marLeft w:val="0"/>
      <w:marRight w:val="0"/>
      <w:marTop w:val="0"/>
      <w:marBottom w:val="0"/>
      <w:divBdr>
        <w:top w:val="none" w:sz="0" w:space="0" w:color="auto"/>
        <w:left w:val="none" w:sz="0" w:space="0" w:color="auto"/>
        <w:bottom w:val="none" w:sz="0" w:space="0" w:color="auto"/>
        <w:right w:val="none" w:sz="0" w:space="0" w:color="auto"/>
      </w:divBdr>
    </w:div>
    <w:div w:id="1870095919">
      <w:bodyDiv w:val="1"/>
      <w:marLeft w:val="0"/>
      <w:marRight w:val="0"/>
      <w:marTop w:val="0"/>
      <w:marBottom w:val="0"/>
      <w:divBdr>
        <w:top w:val="none" w:sz="0" w:space="0" w:color="auto"/>
        <w:left w:val="none" w:sz="0" w:space="0" w:color="auto"/>
        <w:bottom w:val="none" w:sz="0" w:space="0" w:color="auto"/>
        <w:right w:val="none" w:sz="0" w:space="0" w:color="auto"/>
      </w:divBdr>
    </w:div>
    <w:div w:id="1994332853">
      <w:bodyDiv w:val="1"/>
      <w:marLeft w:val="0"/>
      <w:marRight w:val="0"/>
      <w:marTop w:val="0"/>
      <w:marBottom w:val="0"/>
      <w:divBdr>
        <w:top w:val="none" w:sz="0" w:space="0" w:color="auto"/>
        <w:left w:val="none" w:sz="0" w:space="0" w:color="auto"/>
        <w:bottom w:val="none" w:sz="0" w:space="0" w:color="auto"/>
        <w:right w:val="none" w:sz="0" w:space="0" w:color="auto"/>
      </w:divBdr>
    </w:div>
    <w:div w:id="2008710687">
      <w:bodyDiv w:val="1"/>
      <w:marLeft w:val="0"/>
      <w:marRight w:val="0"/>
      <w:marTop w:val="0"/>
      <w:marBottom w:val="0"/>
      <w:divBdr>
        <w:top w:val="none" w:sz="0" w:space="0" w:color="auto"/>
        <w:left w:val="none" w:sz="0" w:space="0" w:color="auto"/>
        <w:bottom w:val="none" w:sz="0" w:space="0" w:color="auto"/>
        <w:right w:val="none" w:sz="0" w:space="0" w:color="auto"/>
      </w:divBdr>
    </w:div>
    <w:div w:id="2018530452">
      <w:bodyDiv w:val="1"/>
      <w:marLeft w:val="0"/>
      <w:marRight w:val="0"/>
      <w:marTop w:val="0"/>
      <w:marBottom w:val="0"/>
      <w:divBdr>
        <w:top w:val="none" w:sz="0" w:space="0" w:color="auto"/>
        <w:left w:val="none" w:sz="0" w:space="0" w:color="auto"/>
        <w:bottom w:val="none" w:sz="0" w:space="0" w:color="auto"/>
        <w:right w:val="none" w:sz="0" w:space="0" w:color="auto"/>
      </w:divBdr>
    </w:div>
    <w:div w:id="2018531995">
      <w:bodyDiv w:val="1"/>
      <w:marLeft w:val="0"/>
      <w:marRight w:val="0"/>
      <w:marTop w:val="0"/>
      <w:marBottom w:val="0"/>
      <w:divBdr>
        <w:top w:val="none" w:sz="0" w:space="0" w:color="auto"/>
        <w:left w:val="none" w:sz="0" w:space="0" w:color="auto"/>
        <w:bottom w:val="none" w:sz="0" w:space="0" w:color="auto"/>
        <w:right w:val="none" w:sz="0" w:space="0" w:color="auto"/>
      </w:divBdr>
    </w:div>
    <w:div w:id="2053381679">
      <w:bodyDiv w:val="1"/>
      <w:marLeft w:val="0"/>
      <w:marRight w:val="0"/>
      <w:marTop w:val="0"/>
      <w:marBottom w:val="0"/>
      <w:divBdr>
        <w:top w:val="none" w:sz="0" w:space="0" w:color="auto"/>
        <w:left w:val="none" w:sz="0" w:space="0" w:color="auto"/>
        <w:bottom w:val="none" w:sz="0" w:space="0" w:color="auto"/>
        <w:right w:val="none" w:sz="0" w:space="0" w:color="auto"/>
      </w:divBdr>
    </w:div>
    <w:div w:id="2067339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228</Words>
  <Characters>1303</Characters>
  <Application>Microsoft Office Word</Application>
  <DocSecurity>0</DocSecurity>
  <Lines>10</Lines>
  <Paragraphs>3</Paragraphs>
  <ScaleCrop>false</ScaleCrop>
  <Company/>
  <LinksUpToDate>false</LinksUpToDate>
  <CharactersWithSpaces>1528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joven</dc:creator>
  <cp:lastModifiedBy>开户合同审核员6</cp:lastModifiedBy>
  <cp:revision>25</cp:revision>
  <dcterms:created xsi:type="dcterms:W3CDTF">2021-01-08T02:09:00Z</dcterms:created>
  <dcterms:modified xsi:type="dcterms:W3CDTF">2022-04-27T01:35:00Z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