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CF" w:rsidRDefault="008930BE">
      <w:pPr>
        <w:spacing w:line="13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</w:pPr>
      <w:r>
        <w:rPr>
          <w:rFonts w:ascii="Times New Roman" w:eastAsia="方正小标宋简体" w:hAnsi="Times New Roman" w:hint="eastAsia"/>
          <w:bCs/>
          <w:color w:val="FF0000"/>
          <w:spacing w:val="20"/>
          <w:w w:val="72"/>
          <w:sz w:val="72"/>
          <w:szCs w:val="72"/>
        </w:rPr>
        <w:t>倍特期货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“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两学一做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”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学习教育</w:t>
      </w:r>
    </w:p>
    <w:p w:rsidR="000A70CF" w:rsidRDefault="000A70CF">
      <w:pPr>
        <w:spacing w:line="4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FFFF"/>
          <w:w w:val="66"/>
          <w:sz w:val="96"/>
          <w:szCs w:val="96"/>
        </w:rPr>
      </w:pPr>
    </w:p>
    <w:p w:rsidR="000A70CF" w:rsidRDefault="008930BE">
      <w:pPr>
        <w:spacing w:line="1700" w:lineRule="exact"/>
        <w:ind w:rightChars="-91" w:right="-191"/>
        <w:jc w:val="center"/>
        <w:rPr>
          <w:rFonts w:ascii="Times New Roman" w:eastAsia="方正魏碑简体" w:hAnsi="Times New Roman" w:cs="Times New Roman"/>
          <w:bCs/>
          <w:color w:val="FF0000"/>
          <w:spacing w:val="50"/>
          <w:sz w:val="132"/>
          <w:szCs w:val="132"/>
        </w:rPr>
      </w:pPr>
      <w:r>
        <w:rPr>
          <w:rFonts w:ascii="Times New Roman" w:eastAsia="方正魏碑简体" w:hAnsi="Times New Roman" w:cs="Times New Roman"/>
          <w:bCs/>
          <w:color w:val="FF0000"/>
          <w:spacing w:val="50"/>
          <w:sz w:val="132"/>
          <w:szCs w:val="132"/>
        </w:rPr>
        <w:t>工作简报</w:t>
      </w:r>
    </w:p>
    <w:p w:rsidR="000A70CF" w:rsidRDefault="000A70CF">
      <w:pPr>
        <w:spacing w:line="200" w:lineRule="exact"/>
        <w:ind w:rightChars="-91" w:right="-191"/>
        <w:rPr>
          <w:rFonts w:ascii="Times New Roman" w:eastAsia="黑体" w:hAnsi="Times New Roman" w:cs="Times New Roman"/>
          <w:bCs/>
          <w:sz w:val="34"/>
          <w:szCs w:val="34"/>
        </w:rPr>
      </w:pPr>
    </w:p>
    <w:p w:rsidR="000A70CF" w:rsidRDefault="000A70CF">
      <w:pPr>
        <w:spacing w:line="400" w:lineRule="exact"/>
        <w:ind w:rightChars="-91" w:right="-191"/>
        <w:rPr>
          <w:rFonts w:ascii="Times New Roman" w:eastAsia="楷体_GB2312" w:hAnsi="Times New Roman" w:cs="Times New Roman"/>
          <w:bCs/>
          <w:sz w:val="32"/>
        </w:rPr>
      </w:pPr>
    </w:p>
    <w:tbl>
      <w:tblPr>
        <w:tblW w:w="8800" w:type="dxa"/>
        <w:tblInd w:w="23" w:type="dxa"/>
        <w:tblLayout w:type="fixed"/>
        <w:tblLook w:val="04A0"/>
      </w:tblPr>
      <w:tblGrid>
        <w:gridCol w:w="5529"/>
        <w:gridCol w:w="3271"/>
      </w:tblGrid>
      <w:tr w:rsidR="000A70CF">
        <w:trPr>
          <w:trHeight w:val="975"/>
        </w:trPr>
        <w:tc>
          <w:tcPr>
            <w:tcW w:w="8800" w:type="dxa"/>
            <w:gridSpan w:val="2"/>
            <w:tcBorders>
              <w:tl2br w:val="nil"/>
              <w:tr2bl w:val="nil"/>
            </w:tcBorders>
            <w:vAlign w:val="bottom"/>
          </w:tcPr>
          <w:p w:rsidR="000A70CF" w:rsidRDefault="008930BE">
            <w:pPr>
              <w:widowControl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第5</w:t>
            </w:r>
            <w:r w:rsidR="00C3202B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期</w:t>
            </w:r>
          </w:p>
          <w:p w:rsidR="000A70CF" w:rsidRDefault="000A70CF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A70CF">
        <w:trPr>
          <w:trHeight w:val="340"/>
        </w:trPr>
        <w:tc>
          <w:tcPr>
            <w:tcW w:w="5529" w:type="dxa"/>
            <w:tcBorders>
              <w:tl2br w:val="nil"/>
              <w:tr2bl w:val="nil"/>
            </w:tcBorders>
          </w:tcPr>
          <w:p w:rsidR="000A70CF" w:rsidRDefault="008930BE">
            <w:pPr>
              <w:widowControl/>
              <w:spacing w:before="100" w:beforeAutospacing="1" w:after="100" w:afterAutospacing="1" w:line="400" w:lineRule="exact"/>
              <w:ind w:rightChars="-91" w:right="-191"/>
              <w:rPr>
                <w:rFonts w:ascii="Times New Roman" w:eastAsia="方正黑体简体" w:hAnsi="Times New Roman" w:cs="Times New Roman"/>
                <w:bCs/>
                <w:color w:val="000000"/>
                <w:spacing w:val="-20"/>
                <w:kern w:val="0"/>
                <w:sz w:val="30"/>
                <w:szCs w:val="30"/>
              </w:rPr>
            </w:pPr>
            <w:r w:rsidRPr="006A0201">
              <w:rPr>
                <w:rFonts w:ascii="Times New Roman" w:eastAsia="方正黑体简体" w:hAnsi="Times New Roman" w:hint="eastAsia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倍特期货</w:t>
            </w:r>
            <w:r w:rsidRPr="006A020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“</w:t>
            </w:r>
            <w:r w:rsidRPr="006A020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两学一做</w:t>
            </w:r>
            <w:r w:rsidRPr="006A020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”</w:t>
            </w:r>
            <w:r w:rsidRPr="006A020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学习教育小</w:t>
            </w:r>
            <w:r w:rsidRPr="006A0201">
              <w:rPr>
                <w:rFonts w:ascii="Times New Roman" w:eastAsia="方正黑体简体" w:hAnsi="Times New Roman" w:cs="Times New Roman"/>
                <w:bCs/>
                <w:color w:val="000000"/>
                <w:spacing w:val="-90"/>
                <w:kern w:val="0"/>
                <w:sz w:val="28"/>
                <w:szCs w:val="30"/>
                <w:fitText w:val="4480"/>
              </w:rPr>
              <w:t>组</w:t>
            </w:r>
          </w:p>
        </w:tc>
        <w:tc>
          <w:tcPr>
            <w:tcW w:w="3271" w:type="dxa"/>
            <w:tcBorders>
              <w:tl2br w:val="nil"/>
              <w:tr2bl w:val="nil"/>
            </w:tcBorders>
          </w:tcPr>
          <w:p w:rsidR="000A70CF" w:rsidRDefault="008930BE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right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 xml:space="preserve"> 201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3</w:t>
            </w:r>
            <w:r w:rsidR="00C3202B"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0A70CF" w:rsidRDefault="00E67B93">
      <w:pPr>
        <w:widowControl/>
        <w:spacing w:line="440" w:lineRule="exac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pict>
          <v:line id="直线 2" o:spid="_x0000_s1026" style="position:absolute;left:0;text-align:left;flip:x;z-index:251658240;mso-position-horizontal-relative:text;mso-position-vertical-relative:text" from="-3.95pt,2pt" to="438.25pt,2pt" o:gfxdata="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7/y20gAAAAYBAAAPAAAAAAAAAAEA&#10;IAAAACIAAABkcnMvZG93bnJldi54bWxQSwECFAAUAAAACACHTuJARhV4s9wBAACmAwAADgAAAAAA&#10;AAABACAAAAAhAQAAZHJzL2Uyb0RvYy54bWxQSwUGAAAAAAYABgBZAQAAbwUAAAAA&#10;" strokecolor="red" strokeweight="2pt"/>
        </w:pict>
      </w:r>
    </w:p>
    <w:p w:rsidR="0016529A" w:rsidRDefault="008930BE" w:rsidP="0016529A">
      <w:pPr>
        <w:jc w:val="center"/>
        <w:rPr>
          <w:rFonts w:ascii="宋体" w:hAnsi="宋体"/>
          <w:sz w:val="28"/>
        </w:rPr>
      </w:pPr>
      <w:r>
        <w:rPr>
          <w:rFonts w:ascii="黑体" w:eastAsia="黑体" w:hAnsi="黑体" w:hint="eastAsia"/>
          <w:b/>
          <w:sz w:val="36"/>
          <w:szCs w:val="36"/>
        </w:rPr>
        <w:t>倍特期货“两学一做”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固定党日活动</w:t>
      </w:r>
    </w:p>
    <w:p w:rsidR="002E15AF" w:rsidRDefault="002E15AF" w:rsidP="0016529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2E15AF" w:rsidRDefault="002E15AF" w:rsidP="002E15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16529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 w:rsidRPr="0016529A">
        <w:rPr>
          <w:rFonts w:hint="eastAsia"/>
          <w:sz w:val="28"/>
          <w:szCs w:val="28"/>
        </w:rPr>
        <w:t>日下午，倍特期货党支部分别组织总部党员在公司会议室、绵阳党小组党员在营业部会议室开展了本月“固定党日”活动</w:t>
      </w:r>
      <w:r>
        <w:rPr>
          <w:rFonts w:hint="eastAsia"/>
          <w:sz w:val="28"/>
          <w:szCs w:val="28"/>
        </w:rPr>
        <w:t>。</w:t>
      </w:r>
    </w:p>
    <w:p w:rsidR="002E15AF" w:rsidRPr="002E15AF" w:rsidRDefault="002E15AF" w:rsidP="002E15AF">
      <w:pPr>
        <w:spacing w:line="600" w:lineRule="exact"/>
        <w:ind w:firstLineChars="200" w:firstLine="560"/>
        <w:rPr>
          <w:sz w:val="28"/>
          <w:szCs w:val="28"/>
        </w:rPr>
      </w:pPr>
    </w:p>
    <w:p w:rsidR="0016529A" w:rsidRPr="002E15AF" w:rsidRDefault="008930BE" w:rsidP="0016529A">
      <w:pPr>
        <w:jc w:val="center"/>
        <w:rPr>
          <w:rFonts w:ascii="宋体" w:hAnsi="宋体"/>
          <w:sz w:val="24"/>
        </w:rPr>
      </w:pPr>
      <w:r w:rsidRPr="002E15AF">
        <w:rPr>
          <w:rFonts w:ascii="黑体" w:eastAsia="黑体" w:hAnsi="黑体" w:cs="黑体" w:hint="eastAsia"/>
          <w:b/>
          <w:bCs/>
          <w:sz w:val="32"/>
          <w:szCs w:val="36"/>
        </w:rPr>
        <w:t>学习习总书记</w:t>
      </w:r>
      <w:r w:rsidR="00C3202B" w:rsidRPr="002E15AF">
        <w:rPr>
          <w:rFonts w:ascii="黑体" w:eastAsia="黑体" w:hAnsi="黑体" w:cs="黑体" w:hint="eastAsia"/>
          <w:b/>
          <w:bCs/>
          <w:sz w:val="32"/>
          <w:szCs w:val="36"/>
        </w:rPr>
        <w:t>在中央全面深化改革领导小组</w:t>
      </w:r>
    </w:p>
    <w:p w:rsidR="000A70CF" w:rsidRPr="0016529A" w:rsidRDefault="00C3202B" w:rsidP="0016529A">
      <w:pPr>
        <w:jc w:val="center"/>
        <w:rPr>
          <w:rFonts w:ascii="宋体" w:hAnsi="宋体"/>
          <w:sz w:val="28"/>
        </w:rPr>
      </w:pPr>
      <w:r w:rsidRPr="002E15AF">
        <w:rPr>
          <w:rFonts w:ascii="黑体" w:eastAsia="黑体" w:hAnsi="黑体" w:cs="黑体" w:hint="eastAsia"/>
          <w:b/>
          <w:bCs/>
          <w:sz w:val="32"/>
          <w:szCs w:val="36"/>
        </w:rPr>
        <w:t>第三十八次会议上的</w:t>
      </w:r>
      <w:r w:rsidR="008930BE" w:rsidRPr="002E15AF">
        <w:rPr>
          <w:rFonts w:ascii="黑体" w:eastAsia="黑体" w:hAnsi="黑体" w:cs="黑体" w:hint="eastAsia"/>
          <w:b/>
          <w:bCs/>
          <w:sz w:val="32"/>
          <w:szCs w:val="36"/>
        </w:rPr>
        <w:t>重要讲话</w:t>
      </w:r>
    </w:p>
    <w:p w:rsidR="0016529A" w:rsidRDefault="0016529A" w:rsidP="002E15AF">
      <w:pPr>
        <w:spacing w:line="600" w:lineRule="exact"/>
        <w:ind w:firstLineChars="200" w:firstLine="560"/>
        <w:rPr>
          <w:sz w:val="28"/>
          <w:szCs w:val="28"/>
        </w:rPr>
      </w:pPr>
      <w:r w:rsidRPr="0016529A">
        <w:rPr>
          <w:rFonts w:hint="eastAsia"/>
          <w:sz w:val="28"/>
          <w:szCs w:val="28"/>
        </w:rPr>
        <w:t>本次活动</w:t>
      </w:r>
      <w:r w:rsidR="002E15AF">
        <w:rPr>
          <w:rFonts w:hint="eastAsia"/>
          <w:sz w:val="28"/>
          <w:szCs w:val="28"/>
        </w:rPr>
        <w:t>首先由</w:t>
      </w:r>
      <w:r w:rsidR="002E15AF" w:rsidRPr="0016529A">
        <w:rPr>
          <w:rFonts w:hint="eastAsia"/>
          <w:sz w:val="28"/>
          <w:szCs w:val="28"/>
        </w:rPr>
        <w:t>支部书记刘国强同志向党员干部传达</w:t>
      </w:r>
      <w:r w:rsidR="002E15AF">
        <w:rPr>
          <w:rFonts w:hint="eastAsia"/>
          <w:sz w:val="28"/>
          <w:szCs w:val="28"/>
        </w:rPr>
        <w:t>了</w:t>
      </w:r>
      <w:r w:rsidRPr="0016529A">
        <w:rPr>
          <w:rFonts w:hint="eastAsia"/>
          <w:sz w:val="28"/>
          <w:szCs w:val="28"/>
        </w:rPr>
        <w:t>习近平</w:t>
      </w:r>
      <w:r>
        <w:rPr>
          <w:rFonts w:hint="eastAsia"/>
          <w:sz w:val="28"/>
          <w:szCs w:val="28"/>
        </w:rPr>
        <w:t>总书记</w:t>
      </w:r>
      <w:r w:rsidRPr="0016529A">
        <w:rPr>
          <w:rFonts w:hint="eastAsia"/>
          <w:sz w:val="28"/>
          <w:szCs w:val="28"/>
        </w:rPr>
        <w:t>8</w:t>
      </w:r>
      <w:r w:rsidRPr="0016529A">
        <w:rPr>
          <w:rFonts w:hint="eastAsia"/>
          <w:sz w:val="28"/>
          <w:szCs w:val="28"/>
        </w:rPr>
        <w:t>月</w:t>
      </w:r>
      <w:r w:rsidRPr="0016529A">
        <w:rPr>
          <w:rFonts w:hint="eastAsia"/>
          <w:sz w:val="28"/>
          <w:szCs w:val="28"/>
        </w:rPr>
        <w:t>29</w:t>
      </w:r>
      <w:r w:rsidRPr="0016529A"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在</w:t>
      </w:r>
      <w:r w:rsidRPr="0016529A">
        <w:rPr>
          <w:rFonts w:hint="eastAsia"/>
          <w:sz w:val="28"/>
          <w:szCs w:val="28"/>
        </w:rPr>
        <w:t>中央全面深化改革领导小组第三十八次会议</w:t>
      </w:r>
      <w:r>
        <w:rPr>
          <w:rFonts w:hint="eastAsia"/>
          <w:sz w:val="28"/>
          <w:szCs w:val="28"/>
        </w:rPr>
        <w:t>上</w:t>
      </w:r>
      <w:r w:rsidRPr="0016529A">
        <w:rPr>
          <w:rFonts w:hint="eastAsia"/>
          <w:sz w:val="28"/>
          <w:szCs w:val="28"/>
        </w:rPr>
        <w:t>发表</w:t>
      </w:r>
      <w:r>
        <w:rPr>
          <w:rFonts w:hint="eastAsia"/>
          <w:sz w:val="28"/>
          <w:szCs w:val="28"/>
        </w:rPr>
        <w:t>的</w:t>
      </w:r>
      <w:r w:rsidRPr="0016529A">
        <w:rPr>
          <w:rFonts w:hint="eastAsia"/>
          <w:sz w:val="28"/>
          <w:szCs w:val="28"/>
        </w:rPr>
        <w:t>重要讲话</w:t>
      </w:r>
      <w:r>
        <w:rPr>
          <w:rFonts w:hint="eastAsia"/>
          <w:sz w:val="28"/>
          <w:szCs w:val="28"/>
        </w:rPr>
        <w:t>。习总书记</w:t>
      </w:r>
      <w:r w:rsidR="002E15AF">
        <w:rPr>
          <w:rFonts w:hint="eastAsia"/>
          <w:sz w:val="28"/>
          <w:szCs w:val="28"/>
        </w:rPr>
        <w:t>在会上</w:t>
      </w:r>
      <w:r w:rsidRPr="0016529A">
        <w:rPr>
          <w:rFonts w:hint="eastAsia"/>
          <w:sz w:val="28"/>
          <w:szCs w:val="28"/>
        </w:rPr>
        <w:t>强调，改革是我们进行具有新的历史特点的伟大斗争的重要方面。全面深化改革，必须加强党对改革的领导，必须坚持问题导向，必须狠抓改革落实，必须深化对改革规律的认识和运用。要继续高举改革旗帜，站在更高起点谋划和推进改革，坚定改革定力，增强改革勇气，总结运用好党的十八大以来形成的改革新经验，</w:t>
      </w:r>
      <w:r w:rsidRPr="0016529A">
        <w:rPr>
          <w:rFonts w:hint="eastAsia"/>
          <w:sz w:val="28"/>
          <w:szCs w:val="28"/>
        </w:rPr>
        <w:lastRenderedPageBreak/>
        <w:t>再接再厉，久久为功，坚定不移将改革进行到底。</w:t>
      </w:r>
    </w:p>
    <w:p w:rsidR="002E15AF" w:rsidRPr="0016529A" w:rsidRDefault="002E15AF" w:rsidP="002E15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改革只有进行时、没有完成时。支部要求全体党员要深刻领会习总书记重要讲话的重大意义、全面准确把握习总书记重要讲话的精神，以良好精神风貌和优异发展业绩迎接党的十九大召开。</w:t>
      </w:r>
    </w:p>
    <w:p w:rsidR="00C251AD" w:rsidRDefault="00C251AD" w:rsidP="00C251AD">
      <w:pPr>
        <w:spacing w:line="432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885" cy="4071790"/>
            <wp:effectExtent l="19050" t="0" r="0" b="0"/>
            <wp:docPr id="2" name="图片 1" descr="D:\我的文档\党建工作\2017年党工团\倍特期货\2支部大会\4照片\2017.08.31\85ACE965CB93E1D91BD160C97DFEE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党建工作\2017年党工团\倍特期货\2支部大会\4照片\2017.08.31\85ACE965CB93E1D91BD160C97DFEEB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407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AD" w:rsidRDefault="00C251AD" w:rsidP="0016529A">
      <w:pPr>
        <w:spacing w:line="432" w:lineRule="auto"/>
        <w:jc w:val="center"/>
        <w:rPr>
          <w:sz w:val="28"/>
          <w:szCs w:val="28"/>
        </w:rPr>
      </w:pPr>
    </w:p>
    <w:p w:rsidR="002E15AF" w:rsidRPr="00C251AD" w:rsidRDefault="00C251AD" w:rsidP="0016529A">
      <w:pPr>
        <w:spacing w:line="432" w:lineRule="auto"/>
        <w:jc w:val="center"/>
        <w:rPr>
          <w:rFonts w:ascii="黑体" w:eastAsia="黑体" w:hAnsi="黑体" w:cs="黑体"/>
          <w:b/>
          <w:bCs/>
          <w:sz w:val="32"/>
          <w:szCs w:val="36"/>
        </w:rPr>
      </w:pPr>
      <w:r w:rsidRPr="00C251AD">
        <w:rPr>
          <w:rFonts w:ascii="黑体" w:eastAsia="黑体" w:hAnsi="黑体" w:cs="黑体" w:hint="eastAsia"/>
          <w:b/>
          <w:bCs/>
          <w:sz w:val="32"/>
          <w:szCs w:val="36"/>
        </w:rPr>
        <w:t>观看警示教育视频《亮剑“微腐败”成都在行动》</w:t>
      </w:r>
    </w:p>
    <w:p w:rsidR="00BE1397" w:rsidRDefault="00BE1397" w:rsidP="00BE1397">
      <w:pPr>
        <w:spacing w:line="432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之后，支部按高投集团党委及高新发展党委要求，组织全体党员观看了《亮剑“微腐败”成都在行动》（第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期），通过对典型案例的集中观看，让党员深度反思剖析自身存在的问题，希望支部广大党员和干部从中吸取教训，遵章守纪，警钟长鸣</w:t>
      </w:r>
      <w:r>
        <w:rPr>
          <w:rFonts w:ascii="宋体" w:hAnsi="宋体" w:cs="宋体" w:hint="eastAsia"/>
          <w:sz w:val="28"/>
          <w:szCs w:val="28"/>
        </w:rPr>
        <w:t>，切实杜绝腐败现象的发生。</w:t>
      </w:r>
    </w:p>
    <w:p w:rsidR="00C251AD" w:rsidRDefault="00C251AD" w:rsidP="00C251AD">
      <w:pPr>
        <w:spacing w:line="432" w:lineRule="auto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lastRenderedPageBreak/>
        <w:drawing>
          <wp:inline distT="0" distB="0" distL="0" distR="0">
            <wp:extent cx="5092699" cy="3819525"/>
            <wp:effectExtent l="19050" t="0" r="0" b="0"/>
            <wp:docPr id="3" name="图片 2" descr="D:\我的文档\党建工作\2017年党工团\倍特期货\2支部大会\4照片\2017.08.31\E4BE146CC5305C91027FEC7ECCF79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党建工作\2017年党工团\倍特期货\2支部大会\4照片\2017.08.31\E4BE146CC5305C91027FEC7ECCF793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95" cy="381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A" w:rsidRPr="001B0D6A" w:rsidRDefault="001B0D6A" w:rsidP="001B0D6A">
      <w:pPr>
        <w:widowControl/>
        <w:spacing w:line="24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05400" cy="3829050"/>
            <wp:effectExtent l="19050" t="0" r="0" b="0"/>
            <wp:docPr id="1" name="图片 1" descr="E:\临时文件\28810878\Image\C2C\6[P8`9V5N{2G}3~XEOZQQ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临时文件\28810878\Image\C2C\6[P8`9V5N{2G}3~XEOZQQF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A" w:rsidRDefault="001B0D6A" w:rsidP="00C251AD">
      <w:pPr>
        <w:spacing w:line="432" w:lineRule="auto"/>
        <w:jc w:val="center"/>
        <w:rPr>
          <w:rFonts w:ascii="宋体" w:hAnsi="宋体" w:cs="宋体"/>
          <w:sz w:val="28"/>
          <w:szCs w:val="28"/>
        </w:rPr>
      </w:pPr>
    </w:p>
    <w:sectPr w:rsidR="001B0D6A" w:rsidSect="000A70CF">
      <w:pgSz w:w="11906" w:h="16838"/>
      <w:pgMar w:top="1135" w:right="1558" w:bottom="993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01" w:rsidRDefault="006A0201" w:rsidP="004B2F01">
      <w:pPr>
        <w:spacing w:line="240" w:lineRule="auto"/>
      </w:pPr>
      <w:r>
        <w:separator/>
      </w:r>
    </w:p>
  </w:endnote>
  <w:endnote w:type="continuationSeparator" w:id="1">
    <w:p w:rsidR="006A0201" w:rsidRDefault="006A0201" w:rsidP="004B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魏碑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01" w:rsidRDefault="006A0201" w:rsidP="004B2F01">
      <w:pPr>
        <w:spacing w:line="240" w:lineRule="auto"/>
      </w:pPr>
      <w:r>
        <w:separator/>
      </w:r>
    </w:p>
  </w:footnote>
  <w:footnote w:type="continuationSeparator" w:id="1">
    <w:p w:rsidR="006A0201" w:rsidRDefault="006A0201" w:rsidP="004B2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685A"/>
    <w:rsid w:val="0002449C"/>
    <w:rsid w:val="00036E5D"/>
    <w:rsid w:val="000564DA"/>
    <w:rsid w:val="00070E9F"/>
    <w:rsid w:val="00090D08"/>
    <w:rsid w:val="000A70CF"/>
    <w:rsid w:val="000B126F"/>
    <w:rsid w:val="000C47F6"/>
    <w:rsid w:val="00102E0E"/>
    <w:rsid w:val="00102E45"/>
    <w:rsid w:val="001315DB"/>
    <w:rsid w:val="001345B5"/>
    <w:rsid w:val="001366AD"/>
    <w:rsid w:val="00137415"/>
    <w:rsid w:val="00140E91"/>
    <w:rsid w:val="00157200"/>
    <w:rsid w:val="0016529A"/>
    <w:rsid w:val="0017067A"/>
    <w:rsid w:val="001B0D6A"/>
    <w:rsid w:val="001B33CA"/>
    <w:rsid w:val="001C41BE"/>
    <w:rsid w:val="001D2E9D"/>
    <w:rsid w:val="0024357E"/>
    <w:rsid w:val="00251A6B"/>
    <w:rsid w:val="0025397C"/>
    <w:rsid w:val="00280B9D"/>
    <w:rsid w:val="002838DE"/>
    <w:rsid w:val="002848C8"/>
    <w:rsid w:val="00294A72"/>
    <w:rsid w:val="002A66AE"/>
    <w:rsid w:val="002E15AF"/>
    <w:rsid w:val="00306227"/>
    <w:rsid w:val="0032688E"/>
    <w:rsid w:val="00327D43"/>
    <w:rsid w:val="00341557"/>
    <w:rsid w:val="00342054"/>
    <w:rsid w:val="00345A15"/>
    <w:rsid w:val="003578A3"/>
    <w:rsid w:val="003641C1"/>
    <w:rsid w:val="003655D8"/>
    <w:rsid w:val="003822E6"/>
    <w:rsid w:val="003842DD"/>
    <w:rsid w:val="0039397D"/>
    <w:rsid w:val="003A4EFA"/>
    <w:rsid w:val="003A6A0D"/>
    <w:rsid w:val="0040300D"/>
    <w:rsid w:val="00403F5F"/>
    <w:rsid w:val="00415F24"/>
    <w:rsid w:val="00457A0C"/>
    <w:rsid w:val="00464EE2"/>
    <w:rsid w:val="004762FA"/>
    <w:rsid w:val="004B2F01"/>
    <w:rsid w:val="004C13D6"/>
    <w:rsid w:val="005257EE"/>
    <w:rsid w:val="00526EBF"/>
    <w:rsid w:val="0053338D"/>
    <w:rsid w:val="00557760"/>
    <w:rsid w:val="0056679E"/>
    <w:rsid w:val="00570E92"/>
    <w:rsid w:val="00580C99"/>
    <w:rsid w:val="005937D7"/>
    <w:rsid w:val="00597DDC"/>
    <w:rsid w:val="005D55F9"/>
    <w:rsid w:val="005E5D42"/>
    <w:rsid w:val="006052B7"/>
    <w:rsid w:val="00616D00"/>
    <w:rsid w:val="006209BC"/>
    <w:rsid w:val="006210F1"/>
    <w:rsid w:val="006311F0"/>
    <w:rsid w:val="00632A7A"/>
    <w:rsid w:val="0065085B"/>
    <w:rsid w:val="00654E4D"/>
    <w:rsid w:val="00667D3B"/>
    <w:rsid w:val="006901C3"/>
    <w:rsid w:val="006A0201"/>
    <w:rsid w:val="006A1972"/>
    <w:rsid w:val="006A5364"/>
    <w:rsid w:val="006B0E9F"/>
    <w:rsid w:val="006B5D27"/>
    <w:rsid w:val="006B66A4"/>
    <w:rsid w:val="006B7B7F"/>
    <w:rsid w:val="006C3C4C"/>
    <w:rsid w:val="006C5535"/>
    <w:rsid w:val="006C79C1"/>
    <w:rsid w:val="00731977"/>
    <w:rsid w:val="00750D02"/>
    <w:rsid w:val="00756A0B"/>
    <w:rsid w:val="00764D61"/>
    <w:rsid w:val="0077491B"/>
    <w:rsid w:val="00782DD4"/>
    <w:rsid w:val="007C3F15"/>
    <w:rsid w:val="007D66AE"/>
    <w:rsid w:val="007D6AB7"/>
    <w:rsid w:val="008116BF"/>
    <w:rsid w:val="0082209C"/>
    <w:rsid w:val="00863C76"/>
    <w:rsid w:val="00865A76"/>
    <w:rsid w:val="008743FE"/>
    <w:rsid w:val="00882CB4"/>
    <w:rsid w:val="00885BE6"/>
    <w:rsid w:val="008930BE"/>
    <w:rsid w:val="0089338B"/>
    <w:rsid w:val="008A1342"/>
    <w:rsid w:val="008A49FE"/>
    <w:rsid w:val="008C14E2"/>
    <w:rsid w:val="008C48B3"/>
    <w:rsid w:val="008F3FDD"/>
    <w:rsid w:val="00915F36"/>
    <w:rsid w:val="009172BB"/>
    <w:rsid w:val="00967A9E"/>
    <w:rsid w:val="00977D94"/>
    <w:rsid w:val="009844D1"/>
    <w:rsid w:val="00990E17"/>
    <w:rsid w:val="009A0D5F"/>
    <w:rsid w:val="009B3CD1"/>
    <w:rsid w:val="009C39ED"/>
    <w:rsid w:val="009C3FB9"/>
    <w:rsid w:val="009C4083"/>
    <w:rsid w:val="00A045EE"/>
    <w:rsid w:val="00A1059E"/>
    <w:rsid w:val="00A209A4"/>
    <w:rsid w:val="00A32DF7"/>
    <w:rsid w:val="00A43722"/>
    <w:rsid w:val="00A46A80"/>
    <w:rsid w:val="00A515AD"/>
    <w:rsid w:val="00A516FA"/>
    <w:rsid w:val="00A5454B"/>
    <w:rsid w:val="00A55BC7"/>
    <w:rsid w:val="00A85E65"/>
    <w:rsid w:val="00AA5A52"/>
    <w:rsid w:val="00AB13A3"/>
    <w:rsid w:val="00AB17F4"/>
    <w:rsid w:val="00AC1A71"/>
    <w:rsid w:val="00AC5211"/>
    <w:rsid w:val="00AD6FDC"/>
    <w:rsid w:val="00AE4C65"/>
    <w:rsid w:val="00AF49CF"/>
    <w:rsid w:val="00AF6F38"/>
    <w:rsid w:val="00B361AD"/>
    <w:rsid w:val="00B6685A"/>
    <w:rsid w:val="00B67709"/>
    <w:rsid w:val="00B85086"/>
    <w:rsid w:val="00B86863"/>
    <w:rsid w:val="00BA58B9"/>
    <w:rsid w:val="00BA64D3"/>
    <w:rsid w:val="00BE1397"/>
    <w:rsid w:val="00BE6F71"/>
    <w:rsid w:val="00BF408B"/>
    <w:rsid w:val="00BF4A49"/>
    <w:rsid w:val="00C013AF"/>
    <w:rsid w:val="00C251AD"/>
    <w:rsid w:val="00C3202B"/>
    <w:rsid w:val="00C47B30"/>
    <w:rsid w:val="00C772F4"/>
    <w:rsid w:val="00CA16A7"/>
    <w:rsid w:val="00CB2CB9"/>
    <w:rsid w:val="00CC159C"/>
    <w:rsid w:val="00D152E8"/>
    <w:rsid w:val="00D22518"/>
    <w:rsid w:val="00D276D3"/>
    <w:rsid w:val="00D3445A"/>
    <w:rsid w:val="00D44D05"/>
    <w:rsid w:val="00D45D57"/>
    <w:rsid w:val="00D50382"/>
    <w:rsid w:val="00D768A3"/>
    <w:rsid w:val="00D7746E"/>
    <w:rsid w:val="00D81559"/>
    <w:rsid w:val="00D87686"/>
    <w:rsid w:val="00D941B6"/>
    <w:rsid w:val="00DA10D6"/>
    <w:rsid w:val="00DB60C8"/>
    <w:rsid w:val="00DC37CD"/>
    <w:rsid w:val="00DD6D06"/>
    <w:rsid w:val="00DE3D56"/>
    <w:rsid w:val="00E00F99"/>
    <w:rsid w:val="00E0253D"/>
    <w:rsid w:val="00E076AD"/>
    <w:rsid w:val="00E10313"/>
    <w:rsid w:val="00E1220D"/>
    <w:rsid w:val="00E166DD"/>
    <w:rsid w:val="00E21F54"/>
    <w:rsid w:val="00E5561B"/>
    <w:rsid w:val="00E67B93"/>
    <w:rsid w:val="00E67DE1"/>
    <w:rsid w:val="00EA2C30"/>
    <w:rsid w:val="00EA5B4E"/>
    <w:rsid w:val="00EB42F2"/>
    <w:rsid w:val="00EB72C7"/>
    <w:rsid w:val="00EC6F02"/>
    <w:rsid w:val="00ED539E"/>
    <w:rsid w:val="00EE38DF"/>
    <w:rsid w:val="00EF0E1E"/>
    <w:rsid w:val="00EF265B"/>
    <w:rsid w:val="00F262A8"/>
    <w:rsid w:val="00F269DB"/>
    <w:rsid w:val="00F33FB5"/>
    <w:rsid w:val="00F34AE8"/>
    <w:rsid w:val="00F403F2"/>
    <w:rsid w:val="00F6234C"/>
    <w:rsid w:val="00F6433D"/>
    <w:rsid w:val="00F67C44"/>
    <w:rsid w:val="00FB2403"/>
    <w:rsid w:val="00FC694E"/>
    <w:rsid w:val="00FD1C2E"/>
    <w:rsid w:val="00FD2028"/>
    <w:rsid w:val="00FE31B7"/>
    <w:rsid w:val="00FE4B3B"/>
    <w:rsid w:val="00FF7F2D"/>
    <w:rsid w:val="033F1DA9"/>
    <w:rsid w:val="044F1224"/>
    <w:rsid w:val="045537B1"/>
    <w:rsid w:val="05050D00"/>
    <w:rsid w:val="05E16FEE"/>
    <w:rsid w:val="076F0A96"/>
    <w:rsid w:val="07D97D58"/>
    <w:rsid w:val="08A40F5F"/>
    <w:rsid w:val="095C3CD9"/>
    <w:rsid w:val="096D5F5D"/>
    <w:rsid w:val="0AE90171"/>
    <w:rsid w:val="0D084B40"/>
    <w:rsid w:val="0D0C445A"/>
    <w:rsid w:val="0D960547"/>
    <w:rsid w:val="0DA97580"/>
    <w:rsid w:val="0DC7179B"/>
    <w:rsid w:val="0F4579A2"/>
    <w:rsid w:val="121B6F3E"/>
    <w:rsid w:val="12513A3D"/>
    <w:rsid w:val="12F84FBA"/>
    <w:rsid w:val="13F61401"/>
    <w:rsid w:val="146B50BD"/>
    <w:rsid w:val="14DD515E"/>
    <w:rsid w:val="1726602D"/>
    <w:rsid w:val="18717B1C"/>
    <w:rsid w:val="1D30165D"/>
    <w:rsid w:val="1DDF5829"/>
    <w:rsid w:val="1DF41024"/>
    <w:rsid w:val="1E193102"/>
    <w:rsid w:val="1EC65900"/>
    <w:rsid w:val="1ECC1398"/>
    <w:rsid w:val="1F0E26E2"/>
    <w:rsid w:val="1F571C80"/>
    <w:rsid w:val="21661FE8"/>
    <w:rsid w:val="23026F93"/>
    <w:rsid w:val="236A35FE"/>
    <w:rsid w:val="247A4C86"/>
    <w:rsid w:val="25912D65"/>
    <w:rsid w:val="26186D34"/>
    <w:rsid w:val="26C23A3B"/>
    <w:rsid w:val="270028F7"/>
    <w:rsid w:val="2737353F"/>
    <w:rsid w:val="281A6C1D"/>
    <w:rsid w:val="2878247D"/>
    <w:rsid w:val="28D6060C"/>
    <w:rsid w:val="29082C2A"/>
    <w:rsid w:val="29F17809"/>
    <w:rsid w:val="2ADE2978"/>
    <w:rsid w:val="2C7E2B5D"/>
    <w:rsid w:val="2D4F2512"/>
    <w:rsid w:val="2EA22AFE"/>
    <w:rsid w:val="2EFD063A"/>
    <w:rsid w:val="2F5D45D2"/>
    <w:rsid w:val="300D33F4"/>
    <w:rsid w:val="30232C00"/>
    <w:rsid w:val="302F3975"/>
    <w:rsid w:val="31DE22E2"/>
    <w:rsid w:val="324D0CED"/>
    <w:rsid w:val="33CC50AC"/>
    <w:rsid w:val="35040D8B"/>
    <w:rsid w:val="364C2F13"/>
    <w:rsid w:val="387B5765"/>
    <w:rsid w:val="392E4F33"/>
    <w:rsid w:val="404A7473"/>
    <w:rsid w:val="413769A7"/>
    <w:rsid w:val="41676037"/>
    <w:rsid w:val="4228752D"/>
    <w:rsid w:val="43C95786"/>
    <w:rsid w:val="453418D5"/>
    <w:rsid w:val="454B255F"/>
    <w:rsid w:val="4563462D"/>
    <w:rsid w:val="45ED1EFE"/>
    <w:rsid w:val="46151335"/>
    <w:rsid w:val="46663ED7"/>
    <w:rsid w:val="473764AB"/>
    <w:rsid w:val="48BD7E63"/>
    <w:rsid w:val="48D508CF"/>
    <w:rsid w:val="49610012"/>
    <w:rsid w:val="4ACA24EC"/>
    <w:rsid w:val="4BF34C8F"/>
    <w:rsid w:val="4D25558A"/>
    <w:rsid w:val="4D460CD8"/>
    <w:rsid w:val="4D6469B0"/>
    <w:rsid w:val="4E365B8D"/>
    <w:rsid w:val="4E9001D8"/>
    <w:rsid w:val="4EFB288F"/>
    <w:rsid w:val="4FC11F6F"/>
    <w:rsid w:val="4FC52696"/>
    <w:rsid w:val="4FF45CF5"/>
    <w:rsid w:val="50323B39"/>
    <w:rsid w:val="505A157A"/>
    <w:rsid w:val="50A05DF0"/>
    <w:rsid w:val="517D7F66"/>
    <w:rsid w:val="51893271"/>
    <w:rsid w:val="51E84F76"/>
    <w:rsid w:val="52FA4E99"/>
    <w:rsid w:val="53C54F0F"/>
    <w:rsid w:val="575456C2"/>
    <w:rsid w:val="584904BE"/>
    <w:rsid w:val="586704F0"/>
    <w:rsid w:val="58EA5C61"/>
    <w:rsid w:val="596F53A6"/>
    <w:rsid w:val="5A874808"/>
    <w:rsid w:val="5AEA4000"/>
    <w:rsid w:val="5F8505CD"/>
    <w:rsid w:val="5FBC305C"/>
    <w:rsid w:val="5FE41674"/>
    <w:rsid w:val="605057C4"/>
    <w:rsid w:val="61B32754"/>
    <w:rsid w:val="61D33C47"/>
    <w:rsid w:val="64151AC6"/>
    <w:rsid w:val="64A06FA5"/>
    <w:rsid w:val="64C70D42"/>
    <w:rsid w:val="655D5CB6"/>
    <w:rsid w:val="659646F5"/>
    <w:rsid w:val="65EC1F22"/>
    <w:rsid w:val="67746395"/>
    <w:rsid w:val="68D90063"/>
    <w:rsid w:val="699354A1"/>
    <w:rsid w:val="69951539"/>
    <w:rsid w:val="69FD6806"/>
    <w:rsid w:val="6B2C3641"/>
    <w:rsid w:val="6C0336BD"/>
    <w:rsid w:val="6C5D6AD5"/>
    <w:rsid w:val="6D0356B0"/>
    <w:rsid w:val="6D0B460D"/>
    <w:rsid w:val="6E4F48C0"/>
    <w:rsid w:val="6E4F51BF"/>
    <w:rsid w:val="6FC0585F"/>
    <w:rsid w:val="6FE44AA7"/>
    <w:rsid w:val="70207625"/>
    <w:rsid w:val="74290503"/>
    <w:rsid w:val="74B93AFC"/>
    <w:rsid w:val="74E854D4"/>
    <w:rsid w:val="75462081"/>
    <w:rsid w:val="783139CE"/>
    <w:rsid w:val="7A4341D3"/>
    <w:rsid w:val="7AD6501B"/>
    <w:rsid w:val="7B1F5AB3"/>
    <w:rsid w:val="7B9E1405"/>
    <w:rsid w:val="7C370305"/>
    <w:rsid w:val="7C9D5600"/>
    <w:rsid w:val="7D8975CA"/>
    <w:rsid w:val="7DF62F7F"/>
    <w:rsid w:val="7E5B2577"/>
    <w:rsid w:val="7F16339D"/>
    <w:rsid w:val="7F98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A70C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A70C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A70CF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70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7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A70C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70C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A70C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A70CF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0A70CF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A70C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cp:lastModifiedBy>文静</cp:lastModifiedBy>
  <cp:revision>16</cp:revision>
  <cp:lastPrinted>2017-08-30T09:02:00Z</cp:lastPrinted>
  <dcterms:created xsi:type="dcterms:W3CDTF">2017-04-11T01:16:00Z</dcterms:created>
  <dcterms:modified xsi:type="dcterms:W3CDTF">2017-09-01T02:11:00Z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